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eastAsia="ja-JP"/>
        </w:rPr>
      </w:pPr>
      <w:r>
        <w:rPr>
          <w:rStyle w:val="hidden-xs"/>
          <w:lang w:eastAsia="ja-JP"/>
          <w:rFonts/>
        </w:rPr>
        <w:t xml:space="preserve">L'engagement des clients</w:t>
      </w:r>
    </w:p>
    <w:p w:rsidR="00224CB6" w:rsidRDefault="00224CB6">
      <w:pPr>
        <w:rPr>
          <w:rStyle w:val="hidden-xs"/>
          <w:rFonts/>
          <w:lang w:eastAsia="ja-JP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Créez plus de connexions personnelles avec des clients, des prospects, des partenaires et d'autres personnes avec des vidéos individuelles, interactives, en temps réel et d'autres types d'expériences en ligne.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Renforcer les relations avec les clients - et maximiser les économies postales - avec une livraison unifiée, efficace et fiable des communications clients dans tous les canaux.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Transformez les communications quotidiennes en engagements de création de bénéfices en veillant à ce que chaque contact client soit pertinent et engageant dans chaque chaîne.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