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8EB3" w14:textId="77777777" w:rsidR="00107308" w:rsidRDefault="00107308">
      <w:pPr>
        <w:rPr>
          <w:lang w:eastAsia="ja-JP"/>
          <w:rFonts/>
        </w:rPr>
      </w:pPr>
      <w:r>
        <w:rPr>
          <w:lang w:eastAsia="ja-JP"/>
          <w:rFonts/>
        </w:rPr>
        <w:t xml:space="preserve">In-process LQA: Risk mitigation via data driven content selection and parametrized sampling</w:t>
      </w:r>
    </w:p>
    <w:p w14:paraId="04CF5BF8" w14:textId="3394BCD3" w:rsidR="00071623" w:rsidRPr="00107308" w:rsidRDefault="00107308">
      <w:pPr>
        <w:rPr>
          <w:lang w:eastAsia="ja-JP"/>
          <w:rFonts/>
        </w:rPr>
      </w:pPr>
      <w:r>
        <w:rPr>
          <w:lang w:eastAsia="ja-JP"/>
          <w:rFonts/>
        </w:rPr>
        <w:t xml:space="preserve">LQA is undeniably an integral process step of localization, which is however often omitted due to lack of time or resources.</w:t>
      </w:r>
      <w:r>
        <w:rPr>
          <w:lang w:eastAsia="ja-JP"/>
          <w:rFonts/>
        </w:rPr>
        <w:t xml:space="preserve"> By driving the content selection via an automated, data driven algorithm and accordingly selecting the sample, the existing constraints are removed and consistent risk mitigation can effectively be achieved.</w:t>
      </w:r>
      <w:r>
        <w:rPr>
          <w:lang w:eastAsia="ja-JP"/>
          <w:rFonts/>
        </w:rPr>
        <w:t xml:space="preserve"> </w:t>
      </w:r>
    </w:p>
    <w:sectPr w:rsidR="00071623" w:rsidRPr="0010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8"/>
    <w:rsid w:val="00107308"/>
    <w:rsid w:val="0041768E"/>
    <w:rsid w:val="009918BF"/>
    <w:rsid w:val="009E2822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2F0D"/>
  <w15:chartTrackingRefBased/>
  <w15:docId w15:val="{96813650-A433-4F31-A70C-F0BF8A6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</cp:revision>
  <dcterms:created xsi:type="dcterms:W3CDTF">2018-11-09T08:06:00Z</dcterms:created>
  <dcterms:modified xsi:type="dcterms:W3CDTF">2018-11-09T08:19:00Z</dcterms:modified>
</cp:coreProperties>
</file>