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Intelligence d'emplacement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Diriger la croissance des revenus en choisissant le meilleur emplacement pour faire des affaires.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Réduisez les coûts en combinant les ressources avec précision aux distances.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Gérer les risques en identifiant les menaces d'inondation, de criminalité et d'incendie.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Augmenter la satisfaction de la clientèle en livrant au bon endroit au bon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