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for Enterprises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Managing multilingual content for a global brand is much easier with XTM.</w:t>
      </w:r>
      <w:r>
        <w:rPr>
          <w:rFonts w:ascii="Times New Roman" w:hAnsi="Times New Roman" w:eastAsia="Times New Roman"/>
          <w:sz w:val="24"/>
          <w:lang w:eastAsia="ja-JP"/>
        </w:rPr>
        <w:t xml:space="preserve"> Our web-based translation management system gives you the flexibility and control you need to create and manage even the most complex projects.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With full transparency across workflows and access to real-time overviews, XTM gives you a birds-eye view of your processes.</w:t>
      </w:r>
      <w:r>
        <w:rPr>
          <w:rFonts w:ascii="Times New Roman" w:hAnsi="Times New Roman" w:eastAsia="Times New Roman"/>
          <w:sz w:val="24"/>
          <w:lang w:eastAsia="ja-JP"/>
        </w:rPr>
        <w:t xml:space="preserve"> By combining effective vendor management and centralised translation assets, you have a complete solution – which gives you the power to control all your translation projects and reduce your translation costs.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de-DE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