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Managing multilingual content for a global brand is much easier with XTM.</w:t>
      </w:r>
      <w:r>
        <w:rPr>
          <w:rFonts w:ascii="Times New Roman" w:hAnsi="Times New Roman" w:eastAsia="Times New Roman"/>
          <w:sz w:val="24"/>
          <w:lang w:eastAsia="ja-JP"/>
        </w:rPr>
        <w:t xml:space="preserve"> 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 w:eastAsia="Times New Roman"/>
          <w:sz w:val="24"/>
          <w:lang w:eastAsia="ja-JP"/>
        </w:rPr>
        <w:t xml:space="preserve"> 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pl-PL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