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XTM International delivers industry-leading translation technologies to help you save time and money – even in high volume, multi-language environments.</w:t>
      </w:r>
      <w:r>
        <w:rPr>
          <w:rFonts w:ascii="Times New Roman" w:hAnsi="Times New Roman" w:eastAsia="Times New Roman"/>
          <w:sz w:val="24"/>
          <w:lang w:eastAsia="ja-JP"/>
        </w:rPr>
        <w:t xml:space="preserve"> 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We’re not a translation service provider; we leave that to you.</w:t>
      </w:r>
      <w:r>
        <w:rPr>
          <w:rFonts w:ascii="Times New Roman" w:hAnsi="Times New Roman" w:eastAsia="Times New Roman"/>
          <w:sz w:val="24"/>
          <w:lang w:eastAsia="ja-JP"/>
        </w:rPr>
        <w:t xml:space="preserve"> Instead, we’re purely a technology partner, here to enhance your capabilities, and help you maximise efficiency and minimise costs.</w:t>
      </w:r>
      <w:r>
        <w:rPr>
          <w:rFonts w:ascii="Times New Roman" w:hAnsi="Times New Roman" w:eastAsia="Times New Roman"/>
          <w:sz w:val="24"/>
          <w:lang w:eastAsia="ja-JP"/>
        </w:rPr>
        <w:t xml:space="preserve"> 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