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Hoezo Dell-laptops?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biedt een scala aan laptops, van systemen exclusief voor kleine bedrijven een volledig gecertificeerde mobiele werkstations van gespecialiseerde ontworpen een tablet-pc's van robuuste laptops.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Op deze  is je een aanbod aan uw behoeften en begroting, die u toelaten om één leverancier koopt al uw systemen en de complexiteit de verminderen.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heeft een wereldwijde aanwezigheid en biedt een service in 130 landen 24 uur per dag 7 dagen per week.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je van een nieuwe laptop van Dell kiezen: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Dell-laptops helpen meer dode in het thuis op kantoor dan elke andere toonaangevende kleine zakelijke laptop aanbieder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verwijderen.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Dell-laptops zijn de meest in de wereld.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Met Dell-laptops die worden geë zonder meer zonder dekking thuis op kantoor dan met de producten van de concurrentie-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93% gebruikers verbinden aan een behulp van het Dell-netwerk voor assistentie bij het slagen van een netwerk van Dell konden.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Het slachten ingspercentage was 66% onder gebruikers die geen gebruik van het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2000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Vostro-gebouwd voor kleine bedrijven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biedt een volledig gamma-van-producten, een uitstekende verkoopfunctie voor kleine bedrijven.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wordt ondersteund door Dell meest uitgebreide standaard voor kleine bedrijven.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Zonder demonstratie programma's.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Combineert 32 onderhoud en prestaties operaties in een verzamel aanvraag makkelijk te gebruiken, Dell Automated PC tune-up wizard.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Zelfs exclusieve Dell TrueLife-verhoogde-verhouding, de verbinding tussen de woorden, de woorden lijken tot 10% hoger is dan schermen de standaard terende deklaag niet hebben gehaald.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Het model van de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1310 biedt meer bescherming opties de bescherming van uw laptop dan gelijkwaardige teams van Toshiba en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Ras: zaken zonder grenzen, beheer zonder het even wat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presteerde beter dan de concurrentie bij duurzaamheid tests.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Solid State heeft schijven kunsolide prestatie en de gebieden met geen bewegende delen.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Ze zijn ontworpen om een grote voorwaar in duurzaamheid en betrouwbaarheid ontworpen om 5 betrouwbaarheid aandrijving in verhoogde tot 23% 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Alleen leverancier ontmoette geïntegreerde biometrische authenticatie op alle commerciële producten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Voor de aanra koning van de vinger gebaseerde, de Dell-digitizer vereist herinneringen kracht, is ontvan kelijker voor touch en, resulteert in minder meerdere, die alle digitizer dan 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Een van de dunste en lichtste 12,1-inch converteerbare tabletten.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Hier is een gebed.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Dit is wat kan worden beschouwd als langer zin.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Hier is wat kan ook nog eens een extra derdezin.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presteerde beter dan de concurrentie bij duurzaamheid tests.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Met Dell-laptops die worden geë zonder meer zonder dekking thuis op kantoor dan met de producten van de concurrentie-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Zonder demonstratie programma's.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