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ru-RU"/>
        </w:rPr>
      </w:pPr>
      <w:r>
        <w:rPr>
          <w:rStyle w:val="hidden-xs"/>
          <w:lang w:val="ru-RU"/>
          <w:rFonts/>
        </w:rPr>
        <w:t xml:space="preserve">L'engagement des clients</w:t>
      </w:r>
    </w:p>
    <w:p w:rsidR="00224CB6" w:rsidRDefault="00224CB6">
      <w:pPr>
        <w:rPr>
          <w:rStyle w:val="hidden-xs"/>
          <w:rFonts/>
          <w:lang w:val="ru-RU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true"/>
          <w:sz w:val="24"/>
          <w:lang w:val="ru-RU"/>
        </w:rPr>
        <w:t xml:space="preserve">Créez plus de connexions personnelles avec des clients, des prospects, des partenaires et d'autres personnes avec des vidéos individuelles, interactives, en temps réel et d'autres types d'expériences en ligne.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Renforcer les relations avec les clients - et maximiser les économies postales - avec une livraison unifiée, efficace et fiable des communications clients dans tous les canaux.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Transformez les communications quotidiennes en engagements de création de bénéfices en veillant à ce que chaque contact client soit pertinent et engageant dans chaque chaîne.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ru-RU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