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Times New Roman" w:hAnsi="Times New Roman"/>
          <w:b w:val="true"/>
          <w:kern w:val="36"/>
          <w:sz w:val="48"/>
          <w:lang w:val="ru-RU"/>
        </w:rPr>
        <w:t xml:space="preserve">XTM pour traducteurs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XTM International offre des technologies de traduction leaders de l'industrie pour vous aider à gagner du temps et de l'argent, même dans des environnements multilingues à grand volume.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Que vous soyez un traducteur indépendant ou un grand LSP, vous pouvez commencer en quelques minutes, tout en maintenant un contrôle et une sécurité complets.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Nous ne sommes pas un fournisseur de services de traduction; Nous vous laissons tomber.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Au lieu de cela, nous sommes uniquement un partenaire technologique, ici pour améliorer vos capacités et vous aider à maximiser l'efficacité et à minimiser les coûts.</w:t>
      </w:r>
      <w:r>
        <w:rPr>
          <w:rFonts w:ascii="Times New Roman" w:hAnsi="Times New Roman"/>
          <w:sz w:val="24"/>
          <w:lang w:val="ru-RU"/>
        </w:rPr>
        <w:t xml:space="preserve"> </w:t>
      </w:r>
      <w:r>
        <w:rPr>
          <w:rFonts w:ascii="Times New Roman" w:hAnsi="Times New Roman"/>
          <w:sz w:val="24"/>
          <w:lang w:val="ru-RU"/>
        </w:rPr>
        <w:t xml:space="preserve">Avec XTM, vous êtes libre de faire ce que vous faites le mieux: traduisez.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ru-RU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