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235" w:rsidRPr="00862F0E" w:rsidRDefault="00862F0E">
      <w:pPr>
        <w:rPr>
          <w:lang w:val="pl-PL"/>
        </w:rPr>
      </w:pPr>
      <w:r w:rsidRPr="00862F0E">
        <w:rPr>
          <w:lang w:val="pl-PL"/>
        </w:rPr>
        <w:t>Grzegorz Wielki w początkach średniowiecza sformułował tezę, iż wszyscy ludzie są z natury równi . W wielu utworach pojawiało się współczucie dla ciemiężonego ludu, dla chłopów, którzy nie mieli wsparcia ze strony bogatszych warstw społeczeństwa, jednak nie przekładało się to na żadne realne działania, które miałaby na celu wsparcie tych najuboższych warstw. Istotny jest też motyw „danse macabre”, który pojawiał się w utworach Henryka Cazalisa i oznacza równość wszystkich wobec śmierci. W polskiej literaturze nawiązywały do niego „Rozmowy Mistrza Polikarpa ze Śmiercią”. Jednakże również i on nie przełożył się na zmianę hierarchicznej struktury społeczeństwa w średniowieczu- władcy i rycerstwo byli przekonani o swojej wyższości od mieszczaństwa i chłopstwa, a zastany porządek społeczny uznali za dzieło Boga.</w:t>
      </w:r>
      <w:bookmarkStart w:id="0" w:name="_GoBack"/>
      <w:bookmarkEnd w:id="0"/>
    </w:p>
    <w:sectPr w:rsidR="005F4235" w:rsidRPr="00862F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076"/>
    <w:rsid w:val="003C4076"/>
    <w:rsid w:val="005F4235"/>
    <w:rsid w:val="00862F0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702</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dc:creator>
  <cp:keywords/>
  <dc:description/>
  <cp:lastModifiedBy>w10</cp:lastModifiedBy>
  <cp:revision>2</cp:revision>
  <dcterms:created xsi:type="dcterms:W3CDTF">2021-12-06T18:21:00Z</dcterms:created>
  <dcterms:modified xsi:type="dcterms:W3CDTF">2021-12-06T18:21:00Z</dcterms:modified>
</cp:coreProperties>
</file>