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PV + Magazyn Energii (BESS)</w:t>
        <w:br/>
        <w:t>dla Zakładów Produkcyjnych w Polsce</w:t>
      </w:r>
    </w:p>
    <w:p/>
    <w:p>
      <w:pPr>
        <w:jc w:val="center"/>
      </w:pPr>
      <w:r>
        <w:rPr>
          <w:color w:val="505050"/>
          <w:sz w:val="32"/>
        </w:rPr>
        <w:t>Raport: Analiza prawna, technologiczna i rynkowa</w:t>
        <w:br/>
        <w:t>Luty 2026</w:t>
      </w:r>
    </w:p>
    <w:p/>
    <w:p/>
    <w:p>
      <w:pPr>
        <w:jc w:val="center"/>
      </w:pPr>
      <w:r>
        <w:rPr>
          <w:i/>
          <w:sz w:val="24"/>
        </w:rPr>
        <w:t>Strategia: Autokonsumpcja PV + Arbitraż cenowy z magazynem energii</w:t>
        <w:br/>
        <w:t>Taryfa dynamiczna (ceny 15-minutowe TGE) + Peak Shaving</w:t>
      </w:r>
    </w:p>
    <w:p>
      <w:r>
        <w:br w:type="page"/>
      </w:r>
    </w:p>
    <w:p>
      <w:pPr>
        <w:pStyle w:val="Heading1"/>
      </w:pPr>
      <w:r>
        <w:t>Spis treści</w:t>
      </w:r>
    </w:p>
    <w:p>
      <w:pPr>
        <w:spacing w:after="40" w:before="0"/>
      </w:pPr>
      <w:r>
        <w:t>1. Podsumowanie wykonawcze</w:t>
      </w:r>
    </w:p>
    <w:p>
      <w:pPr>
        <w:spacing w:after="40" w:before="0"/>
      </w:pPr>
      <w:r>
        <w:t>2. Strategia działania – jak to działa?</w:t>
      </w:r>
    </w:p>
    <w:p>
      <w:pPr>
        <w:spacing w:after="40" w:before="0"/>
      </w:pPr>
      <w:r>
        <w:t>3. Regulacje prawne</w:t>
      </w:r>
    </w:p>
    <w:p>
      <w:pPr>
        <w:spacing w:after="40" w:before="0"/>
      </w:pPr>
      <w:r>
        <w:t xml:space="preserve">   3.1. Taryfy dynamiczne w Polsce</w:t>
      </w:r>
    </w:p>
    <w:p>
      <w:pPr>
        <w:spacing w:after="40" w:before="0"/>
      </w:pPr>
      <w:r>
        <w:t xml:space="preserve">   3.2. Regulacje magazynów energii</w:t>
      </w:r>
    </w:p>
    <w:p>
      <w:pPr>
        <w:spacing w:after="40" w:before="0"/>
      </w:pPr>
      <w:r>
        <w:t xml:space="preserve">   3.3. Net-billing vs autokonsumpcja</w:t>
      </w:r>
    </w:p>
    <w:p>
      <w:pPr>
        <w:spacing w:after="40" w:before="0"/>
      </w:pPr>
      <w:r>
        <w:t xml:space="preserve">   3.4. Dotacje i ulgi podatkowe</w:t>
      </w:r>
    </w:p>
    <w:p>
      <w:pPr>
        <w:spacing w:after="40" w:before="0"/>
      </w:pPr>
      <w:r>
        <w:t xml:space="preserve">   3.5. Obowiązki prawne – podsumowanie</w:t>
      </w:r>
    </w:p>
    <w:p>
      <w:pPr>
        <w:spacing w:after="40" w:before="0"/>
      </w:pPr>
      <w:r>
        <w:t>4. Analiza technologiczna</w:t>
      </w:r>
    </w:p>
    <w:p>
      <w:pPr>
        <w:spacing w:after="40" w:before="0"/>
      </w:pPr>
      <w:r>
        <w:t xml:space="preserve">   4.1. Producenci BESS dla przemysłu</w:t>
      </w:r>
    </w:p>
    <w:p>
      <w:pPr>
        <w:spacing w:after="40" w:before="0"/>
      </w:pPr>
      <w:r>
        <w:t xml:space="preserve">   4.2. Technologia LFP vs NMC</w:t>
      </w:r>
    </w:p>
    <w:p>
      <w:pPr>
        <w:spacing w:after="40" w:before="0"/>
      </w:pPr>
      <w:r>
        <w:t xml:space="preserve">   4.3. Oprogramowanie EMS</w:t>
      </w:r>
    </w:p>
    <w:p>
      <w:pPr>
        <w:spacing w:after="40" w:before="0"/>
      </w:pPr>
      <w:r>
        <w:t xml:space="preserve">   4.4. Integracja z istniejącym PV (AC vs DC coupling)</w:t>
      </w:r>
    </w:p>
    <w:p>
      <w:pPr>
        <w:spacing w:after="40" w:before="0"/>
      </w:pPr>
      <w:r>
        <w:t xml:space="preserve">   4.5. Sizing magazynu</w:t>
      </w:r>
    </w:p>
    <w:p>
      <w:pPr>
        <w:spacing w:after="40" w:before="0"/>
      </w:pPr>
      <w:r>
        <w:t>5. Analiza rynkowa</w:t>
      </w:r>
    </w:p>
    <w:p>
      <w:pPr>
        <w:spacing w:after="40" w:before="0"/>
      </w:pPr>
      <w:r>
        <w:t xml:space="preserve">   5.1. Ceny energii na TGE</w:t>
      </w:r>
    </w:p>
    <w:p>
      <w:pPr>
        <w:spacing w:after="40" w:before="0"/>
      </w:pPr>
      <w:r>
        <w:t xml:space="preserve">   5.2. Ujemne ceny energii</w:t>
      </w:r>
    </w:p>
    <w:p>
      <w:pPr>
        <w:spacing w:after="40" w:before="0"/>
      </w:pPr>
      <w:r>
        <w:t xml:space="preserve">   5.3. Arbitraż cenowy</w:t>
      </w:r>
    </w:p>
    <w:p>
      <w:pPr>
        <w:spacing w:after="40" w:before="0"/>
      </w:pPr>
      <w:r>
        <w:t xml:space="preserve">   5.4. Peak shaving i opłata mocowa</w:t>
      </w:r>
    </w:p>
    <w:p>
      <w:pPr>
        <w:spacing w:after="40" w:before="0"/>
      </w:pPr>
      <w:r>
        <w:t xml:space="preserve">   5.5. Prognozy cen 2025-2027</w:t>
      </w:r>
    </w:p>
    <w:p>
      <w:pPr>
        <w:spacing w:after="40" w:before="0"/>
      </w:pPr>
      <w:r>
        <w:t>6. Business case – strumienie przychodów</w:t>
      </w:r>
    </w:p>
    <w:p>
      <w:pPr>
        <w:spacing w:after="40" w:before="0"/>
      </w:pPr>
      <w:r>
        <w:t>7. Rekomendacje</w:t>
      </w:r>
    </w:p>
    <w:p>
      <w:r>
        <w:br w:type="page"/>
      </w:r>
    </w:p>
    <w:p>
      <w:pPr>
        <w:pStyle w:val="Heading1"/>
      </w:pPr>
      <w:r>
        <w:t>1. Podsumowanie wykonawcze</w:t>
      </w:r>
    </w:p>
    <w:p>
      <w:r>
        <w:t>Zakłady produkcyjne posiadające instalacje fotowoltaiczne (PV) stoją przed wyjątkową okazją inwestycyjną. Dynamicznie zmieniający się rynek energii w Polsce – z rosnącą liczbą godzin z ujemnymi cenami energii, wzrastającą opłatą mocową (+55% w 2026 r.) i dostępnością taryf dynamicznych z cenami 15-minutowymi – tworzy idealne warunki do instalacji przemysłowych magazynów energii (BESS).</w:t>
      </w:r>
    </w:p>
    <w:p>
      <w:pPr>
        <w:pStyle w:val="Heading3"/>
      </w:pPr>
      <w:r>
        <w:t>Kluczowe liczby:</w:t>
      </w:r>
    </w:p>
    <w:p>
      <w:pPr>
        <w:pStyle w:val="ListBullet"/>
      </w:pPr>
      <w:r>
        <w:t>Ujemne ceny energii: &gt;315 godzin w 2025 r. (6-krotny wzrost vs 2023)</w:t>
      </w:r>
    </w:p>
    <w:p>
      <w:pPr>
        <w:pStyle w:val="ListBullet"/>
      </w:pPr>
      <w:r>
        <w:t>Opłata mocowa 2026: 219,40 PLN/MWh (+55% r/r) – magazyn może ją zredukować o 83%</w:t>
      </w:r>
    </w:p>
    <w:p>
      <w:pPr>
        <w:pStyle w:val="ListBullet"/>
      </w:pPr>
      <w:r>
        <w:t>Spread cenowy intraday: 150-600 PLN/MWh (potencjał arbitrażu)</w:t>
      </w:r>
    </w:p>
    <w:p>
      <w:pPr>
        <w:pStyle w:val="ListBullet"/>
      </w:pPr>
      <w:r>
        <w:t>Taryfy dynamiczne: ceny co 15 min od października 2025 – 6 głównych sprzedawców</w:t>
      </w:r>
    </w:p>
    <w:p>
      <w:pPr>
        <w:pStyle w:val="ListBullet"/>
      </w:pPr>
      <w:r>
        <w:t>Koszt BESS (C&amp;I): 1 500 – 3 500 PLN/kWh (spadek 31% r/r)</w:t>
      </w:r>
    </w:p>
    <w:p>
      <w:pPr>
        <w:pStyle w:val="ListBullet"/>
      </w:pPr>
      <w:r>
        <w:t>Okres zwrotu: 4-8 lat (bez dotacji), 3-5 lat (z dofinansowaniem)</w:t>
      </w:r>
    </w:p>
    <w:p>
      <w:pPr>
        <w:pStyle w:val="ListBullet"/>
      </w:pPr>
      <w:r>
        <w:t>Technologia: LFP – 10 000 cykli, 20+ lat żywotności, najwyższe bezpieczeństwo</w:t>
      </w:r>
    </w:p>
    <w:p>
      <w:r>
        <w:br w:type="page"/>
      </w:r>
    </w:p>
    <w:p>
      <w:pPr>
        <w:pStyle w:val="Heading1"/>
      </w:pPr>
      <w:r>
        <w:t>2. Strategia działania – jak to działa?</w:t>
      </w:r>
    </w:p>
    <w:p>
      <w:r>
        <w:t>Proponowana strategia łączy trzy źródła oszczędności w jeden zintegrowany system:</w:t>
      </w:r>
    </w:p>
    <w:p>
      <w:pPr>
        <w:pStyle w:val="Heading3"/>
      </w:pPr>
      <w:r>
        <w:t>Schemat działania:</w:t>
      </w:r>
    </w:p>
    <w:p>
      <w:r>
        <w:rPr>
          <w:b/>
        </w:rPr>
        <w:t xml:space="preserve">Godziny 10:00-15:00 (tanie/ujemne ceny): </w:t>
      </w:r>
      <w:r>
        <w:t>PV produkuje energię → priorytet: zasilanie zakładu (autokonsumpcja). Nadwyżki ładują magazyn BESS zamiast trafiać do sieci po niskich cenach net-billing. Dodatkowo: magazyn kupuje tanią energię z sieci po cenach 15-min z TGE (nawet po 0 zł lub ujemnych cenach).</w:t>
      </w:r>
    </w:p>
    <w:p>
      <w:r>
        <w:rPr>
          <w:b/>
        </w:rPr>
        <w:t xml:space="preserve">Godziny 17:00-21:00 (drogie godziny szczytowe): </w:t>
      </w:r>
      <w:r>
        <w:t>Magazyn rozładowuje się, zasilając zakład → firma nie kupuje drogiej energii ze szczytu. Redukcja opłaty mocowej (peak shaving) – wygładzenie profilu zużycia.</w:t>
      </w:r>
    </w:p>
    <w:p>
      <w:r>
        <w:rPr>
          <w:b/>
        </w:rPr>
        <w:t xml:space="preserve">Godziny nocne (22:00-06:00): </w:t>
      </w:r>
      <w:r>
        <w:t>Magazyn ładuje się po niskich cenach nocnych z TGE, przygotowując się na poranną zmianę.</w:t>
      </w:r>
    </w:p>
    <w:p>
      <w:pPr>
        <w:pStyle w:val="Heading3"/>
      </w:pPr>
      <w:r>
        <w:t>Trzy strumienie oszczędności:</w:t>
      </w:r>
    </w:p>
    <w:p>
      <w:pPr>
        <w:pStyle w:val="ListBullet"/>
      </w:pPr>
      <w:r>
        <w:t>Autokonsumpcja PV: nadwyżki do magazynu zamiast do sieci (wartość 300-500 PLN/MWh wyższa niż net-billing)</w:t>
      </w:r>
    </w:p>
    <w:p>
      <w:pPr>
        <w:pStyle w:val="ListBullet"/>
      </w:pPr>
      <w:r>
        <w:t>Arbitraż cenowy: kupno taniej energii (ceny bliskie 0 lub ujemne) i zużycie w szczycie</w:t>
      </w:r>
    </w:p>
    <w:p>
      <w:pPr>
        <w:pStyle w:val="ListBullet"/>
      </w:pPr>
      <w:r>
        <w:t>Peak shaving: redukcja opłaty mocowej nawet o 83% (przejście z kategorii K4 na K1)</w:t>
      </w:r>
    </w:p>
    <w:p>
      <w:r>
        <w:br w:type="page"/>
      </w:r>
    </w:p>
    <w:p>
      <w:pPr>
        <w:pStyle w:val="Heading1"/>
      </w:pPr>
      <w:r>
        <w:t>3. Regulacje prawne</w:t>
      </w:r>
    </w:p>
    <w:p>
      <w:pPr>
        <w:pStyle w:val="Heading2"/>
      </w:pPr>
      <w:r>
        <w:t>3.1. Taryfy dynamiczne w Polsce</w:t>
      </w:r>
    </w:p>
    <w:p>
      <w:r>
        <w:t>Od 24 sierpnia 2024 r. w Polsce obowiązuje wymóg oferowania umów z ceną dynamiczną przez sprzedawców energii obsługujących ponad 200 tys. klientów. Od października 2025 r. ceny zmieniają się co 15 minut (96 zmian ceny dziennie), oparte na notowaniach Rynku Dnia Następnego (RDN) na Towarowej Giełdzie Energii (TGE).</w:t>
      </w:r>
    </w:p>
    <w:p>
      <w:pPr>
        <w:pStyle w:val="Heading3"/>
      </w:pPr>
      <w:r>
        <w:t>Sprzedawcy oferujący taryfy dynamiczne dla firm: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Sprzedawca</w:t>
            </w:r>
          </w:p>
        </w:tc>
        <w:tc>
          <w:tcPr>
            <w:tcW w:type="dxa" w:w="2880"/>
          </w:tcPr>
          <w:p>
            <w:r>
              <w:rPr>
                <w:b/>
                <w:sz w:val="18"/>
              </w:rPr>
              <w:t>Oferta</w:t>
            </w:r>
          </w:p>
        </w:tc>
        <w:tc>
          <w:tcPr>
            <w:tcW w:type="dxa" w:w="2880"/>
          </w:tcPr>
          <w:p>
            <w:r>
              <w:rPr>
                <w:b/>
                <w:sz w:val="18"/>
              </w:rPr>
              <w:t>Opłata handlowa</w:t>
            </w:r>
          </w:p>
        </w:tc>
      </w:tr>
      <w:tr>
        <w:tc>
          <w:tcPr>
            <w:tcW w:type="dxa" w:w="2880"/>
          </w:tcPr>
          <w:p>
            <w:r>
              <w:rPr>
                <w:sz w:val="18"/>
              </w:rPr>
              <w:t>Enea</w:t>
            </w:r>
          </w:p>
        </w:tc>
        <w:tc>
          <w:tcPr>
            <w:tcW w:type="dxa" w:w="2880"/>
          </w:tcPr>
          <w:p>
            <w:r>
              <w:rPr>
                <w:sz w:val="18"/>
              </w:rPr>
              <w:t>Ceny Dynamiczne Firma</w:t>
            </w:r>
          </w:p>
        </w:tc>
        <w:tc>
          <w:tcPr>
            <w:tcW w:type="dxa" w:w="2880"/>
          </w:tcPr>
          <w:p>
            <w:r>
              <w:rPr>
                <w:sz w:val="18"/>
              </w:rPr>
              <w:t>25 zł netto/mies. za układ pomiarowy</w:t>
            </w:r>
          </w:p>
        </w:tc>
      </w:tr>
      <w:tr>
        <w:tc>
          <w:tcPr>
            <w:tcW w:type="dxa" w:w="2880"/>
          </w:tcPr>
          <w:p>
            <w:r>
              <w:rPr>
                <w:sz w:val="18"/>
              </w:rPr>
              <w:t>Energa</w:t>
            </w:r>
          </w:p>
        </w:tc>
        <w:tc>
          <w:tcPr>
            <w:tcW w:type="dxa" w:w="2880"/>
          </w:tcPr>
          <w:p>
            <w:r>
              <w:rPr>
                <w:sz w:val="18"/>
              </w:rPr>
              <w:t>Oferta Dynamiczna dla Firm</w:t>
            </w:r>
          </w:p>
        </w:tc>
        <w:tc>
          <w:tcPr>
            <w:tcW w:type="dxa" w:w="2880"/>
          </w:tcPr>
          <w:p>
            <w:r>
              <w:rPr>
                <w:sz w:val="18"/>
              </w:rPr>
              <w:t>10 zł brutto/mies.</w:t>
            </w:r>
          </w:p>
        </w:tc>
      </w:tr>
      <w:tr>
        <w:tc>
          <w:tcPr>
            <w:tcW w:type="dxa" w:w="2880"/>
          </w:tcPr>
          <w:p>
            <w:r>
              <w:rPr>
                <w:sz w:val="18"/>
              </w:rPr>
              <w:t>PGE</w:t>
            </w:r>
          </w:p>
        </w:tc>
        <w:tc>
          <w:tcPr>
            <w:tcW w:type="dxa" w:w="2880"/>
          </w:tcPr>
          <w:p>
            <w:r>
              <w:rPr>
                <w:sz w:val="18"/>
              </w:rPr>
              <w:t>Cena dynamiczna</w:t>
            </w:r>
          </w:p>
        </w:tc>
        <w:tc>
          <w:tcPr>
            <w:tcW w:type="dxa" w:w="2880"/>
          </w:tcPr>
          <w:p>
            <w:r>
              <w:rPr>
                <w:sz w:val="18"/>
              </w:rPr>
              <w:t>50 zł brutto/mies.</w:t>
            </w:r>
          </w:p>
        </w:tc>
      </w:tr>
      <w:tr>
        <w:tc>
          <w:tcPr>
            <w:tcW w:type="dxa" w:w="2880"/>
          </w:tcPr>
          <w:p>
            <w:r>
              <w:rPr>
                <w:sz w:val="18"/>
              </w:rPr>
              <w:t>Tauron</w:t>
            </w:r>
          </w:p>
        </w:tc>
        <w:tc>
          <w:tcPr>
            <w:tcW w:type="dxa" w:w="2880"/>
          </w:tcPr>
          <w:p>
            <w:r>
              <w:rPr>
                <w:sz w:val="18"/>
              </w:rPr>
              <w:t>Ceny Dynamiczne dla Firm</w:t>
            </w:r>
          </w:p>
        </w:tc>
        <w:tc>
          <w:tcPr>
            <w:tcW w:type="dxa" w:w="2880"/>
          </w:tcPr>
          <w:p>
            <w:r>
              <w:rPr>
                <w:sz w:val="18"/>
              </w:rPr>
              <w:t>0-34 zł/mies.</w:t>
            </w:r>
          </w:p>
        </w:tc>
      </w:tr>
      <w:tr>
        <w:tc>
          <w:tcPr>
            <w:tcW w:type="dxa" w:w="2880"/>
          </w:tcPr>
          <w:p>
            <w:r>
              <w:rPr>
                <w:sz w:val="18"/>
              </w:rPr>
              <w:t>E.ON Polska</w:t>
            </w:r>
          </w:p>
        </w:tc>
        <w:tc>
          <w:tcPr>
            <w:tcW w:type="dxa" w:w="2880"/>
          </w:tcPr>
          <w:p>
            <w:r>
              <w:rPr>
                <w:sz w:val="18"/>
              </w:rPr>
              <w:t>Oferta dynamiczna</w:t>
            </w:r>
          </w:p>
        </w:tc>
        <w:tc>
          <w:tcPr>
            <w:tcW w:type="dxa" w:w="2880"/>
          </w:tcPr>
          <w:p>
            <w:r>
              <w:rPr>
                <w:sz w:val="18"/>
              </w:rPr>
              <w:t>Indywidualnie</w:t>
            </w:r>
          </w:p>
        </w:tc>
      </w:tr>
      <w:tr>
        <w:tc>
          <w:tcPr>
            <w:tcW w:type="dxa" w:w="2880"/>
          </w:tcPr>
          <w:p>
            <w:r>
              <w:rPr>
                <w:sz w:val="18"/>
              </w:rPr>
              <w:t>Pstryk (Fortum)</w:t>
            </w:r>
          </w:p>
        </w:tc>
        <w:tc>
          <w:tcPr>
            <w:tcW w:type="dxa" w:w="2880"/>
          </w:tcPr>
          <w:p>
            <w:r>
              <w:rPr>
                <w:sz w:val="18"/>
              </w:rPr>
              <w:t>Ceny dynamiczne</w:t>
            </w:r>
          </w:p>
        </w:tc>
        <w:tc>
          <w:tcPr>
            <w:tcW w:type="dxa" w:w="2880"/>
          </w:tcPr>
          <w:p>
            <w:r>
              <w:rPr>
                <w:sz w:val="18"/>
              </w:rPr>
              <w:t>0 zł/mies.</w:t>
            </w:r>
          </w:p>
        </w:tc>
      </w:tr>
    </w:tbl>
    <w:p/>
    <w:p>
      <w:r>
        <w:t>Warunki przystąpienia: inteligentny licznik (zdalny odczyt), jednomiesięczny cykl rozliczeniowy. Taryfa dynamiczna + magazyn energii = możliwość zakupu energii po cenach bliskich 0 zł lub ujemnych.</w:t>
      </w:r>
    </w:p>
    <w:p>
      <w:pPr>
        <w:pStyle w:val="Heading2"/>
      </w:pPr>
      <w:r>
        <w:t>3.2. Regulacje magazynów energii</w:t>
      </w:r>
    </w:p>
    <w:p>
      <w:r>
        <w:t>Progi regulacyjne: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Moc magazynu</w:t>
            </w:r>
          </w:p>
        </w:tc>
        <w:tc>
          <w:tcPr>
            <w:tcW w:type="dxa" w:w="2160"/>
          </w:tcPr>
          <w:p>
            <w:r>
              <w:rPr>
                <w:b/>
                <w:sz w:val="18"/>
              </w:rPr>
              <w:t>Koncesja</w:t>
            </w:r>
          </w:p>
        </w:tc>
        <w:tc>
          <w:tcPr>
            <w:tcW w:type="dxa" w:w="2160"/>
          </w:tcPr>
          <w:p>
            <w:r>
              <w:rPr>
                <w:b/>
                <w:sz w:val="18"/>
              </w:rPr>
              <w:t>Rejestr OSD</w:t>
            </w:r>
          </w:p>
        </w:tc>
        <w:tc>
          <w:tcPr>
            <w:tcW w:type="dxa" w:w="2160"/>
          </w:tcPr>
          <w:p>
            <w:r>
              <w:rPr>
                <w:b/>
                <w:sz w:val="18"/>
              </w:rPr>
              <w:t>Prawo budowlane</w:t>
            </w:r>
          </w:p>
        </w:tc>
      </w:tr>
      <w:tr>
        <w:tc>
          <w:tcPr>
            <w:tcW w:type="dxa" w:w="2160"/>
          </w:tcPr>
          <w:p>
            <w:r>
              <w:rPr>
                <w:sz w:val="18"/>
              </w:rPr>
              <w:t>Do 50 kW</w:t>
            </w:r>
          </w:p>
        </w:tc>
        <w:tc>
          <w:tcPr>
            <w:tcW w:type="dxa" w:w="2160"/>
          </w:tcPr>
          <w:p>
            <w:r>
              <w:rPr>
                <w:sz w:val="18"/>
              </w:rPr>
              <w:t>NIE</w:t>
            </w:r>
          </w:p>
        </w:tc>
        <w:tc>
          <w:tcPr>
            <w:tcW w:type="dxa" w:w="2160"/>
          </w:tcPr>
          <w:p>
            <w:r>
              <w:rPr>
                <w:sz w:val="18"/>
              </w:rPr>
              <w:t>NIE</w:t>
            </w:r>
          </w:p>
        </w:tc>
        <w:tc>
          <w:tcPr>
            <w:tcW w:type="dxa" w:w="2160"/>
          </w:tcPr>
          <w:p>
            <w:r>
              <w:rPr>
                <w:sz w:val="18"/>
              </w:rPr>
              <w:t>Do 30 kWh: brak wymagań</w:t>
              <w:br/>
              <w:t>30-300 kWh: zgłoszenie + PSP</w:t>
            </w:r>
          </w:p>
        </w:tc>
      </w:tr>
      <w:tr>
        <w:tc>
          <w:tcPr>
            <w:tcW w:type="dxa" w:w="2160"/>
          </w:tcPr>
          <w:p>
            <w:r>
              <w:rPr>
                <w:sz w:val="18"/>
              </w:rPr>
              <w:t>50 kW – 10 MW</w:t>
            </w:r>
          </w:p>
        </w:tc>
        <w:tc>
          <w:tcPr>
            <w:tcW w:type="dxa" w:w="2160"/>
          </w:tcPr>
          <w:p>
            <w:r>
              <w:rPr>
                <w:sz w:val="18"/>
              </w:rPr>
              <w:t>NIE</w:t>
            </w:r>
          </w:p>
        </w:tc>
        <w:tc>
          <w:tcPr>
            <w:tcW w:type="dxa" w:w="2160"/>
          </w:tcPr>
          <w:p>
            <w:r>
              <w:rPr>
                <w:sz w:val="18"/>
              </w:rPr>
              <w:t>TAK (wpis w 7 dni)</w:t>
            </w:r>
          </w:p>
        </w:tc>
        <w:tc>
          <w:tcPr>
            <w:tcW w:type="dxa" w:w="2160"/>
          </w:tcPr>
          <w:p>
            <w:r>
              <w:rPr>
                <w:sz w:val="18"/>
              </w:rPr>
              <w:t>Powyżej 300 kWh: pozwolenie na budowę</w:t>
            </w:r>
          </w:p>
        </w:tc>
      </w:tr>
      <w:tr>
        <w:tc>
          <w:tcPr>
            <w:tcW w:type="dxa" w:w="2160"/>
          </w:tcPr>
          <w:p>
            <w:r>
              <w:rPr>
                <w:sz w:val="18"/>
              </w:rPr>
              <w:t>Powyżej 10 MW</w:t>
            </w:r>
          </w:p>
        </w:tc>
        <w:tc>
          <w:tcPr>
            <w:tcW w:type="dxa" w:w="2160"/>
          </w:tcPr>
          <w:p>
            <w:r>
              <w:rPr>
                <w:sz w:val="18"/>
              </w:rPr>
              <w:t>TAK (URE)</w:t>
            </w:r>
          </w:p>
        </w:tc>
        <w:tc>
          <w:tcPr>
            <w:tcW w:type="dxa" w:w="2160"/>
          </w:tcPr>
          <w:p>
            <w:r>
              <w:rPr>
                <w:sz w:val="18"/>
              </w:rPr>
              <w:t>TAK</w:t>
            </w:r>
          </w:p>
        </w:tc>
        <w:tc>
          <w:tcPr>
            <w:tcW w:type="dxa" w:w="2160"/>
          </w:tcPr>
          <w:p>
            <w:r>
              <w:rPr>
                <w:sz w:val="18"/>
              </w:rPr>
              <w:t>Pozwolenie na budowę</w:t>
            </w:r>
          </w:p>
        </w:tc>
      </w:tr>
    </w:tbl>
    <w:p/>
    <w:p>
      <w:r>
        <w:t>Nowelizacja Prawa budowlanego z 7 stycznia 2026 r. podniosła próg zwolnienia z wymagań budowlanych do 30 kWh (wcześniej 10 kWh) dla wolnostojących magazynów poza budynkami. Magazyny 30-300 kWh wymagają zgłoszenia budowy i zatwierdzenia Państwowej Straży Pożarnej.</w:t>
      </w:r>
    </w:p>
    <w:p>
      <w:pPr>
        <w:pStyle w:val="Heading2"/>
      </w:pPr>
      <w:r>
        <w:t>3.3. Net-billing vs autokonsumpcja z magazynem</w:t>
      </w:r>
    </w:p>
    <w:p>
      <w:r>
        <w:t>W systemie net-billing energia oddana do sieci wyceniana jest wg Rynkowych Cen Energii (RCE) ze współczynnikiem 1,23. Wartość trafia na depozyt prosumencki (przepada po 12 miesiącach). Problem: w godzinach szczytu PV (11:00-15:00) ceny RCE są bardzo niskie, często bliskie zeru.</w:t>
      </w:r>
    </w:p>
    <w:p>
      <w:pPr>
        <w:pStyle w:val="Heading3"/>
      </w:pPr>
      <w:r>
        <w:t>Porównanie wartości energii: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Scenariusz</w:t>
            </w:r>
          </w:p>
        </w:tc>
        <w:tc>
          <w:tcPr>
            <w:tcW w:type="dxa" w:w="2880"/>
          </w:tcPr>
          <w:p>
            <w:r>
              <w:rPr>
                <w:b/>
                <w:sz w:val="18"/>
              </w:rPr>
              <w:t>Wartość energii</w:t>
            </w:r>
          </w:p>
        </w:tc>
        <w:tc>
          <w:tcPr>
            <w:tcW w:type="dxa" w:w="2880"/>
          </w:tcPr>
          <w:p>
            <w:r>
              <w:rPr>
                <w:b/>
                <w:sz w:val="18"/>
              </w:rPr>
              <w:t>Uwagi</w:t>
            </w:r>
          </w:p>
        </w:tc>
      </w:tr>
      <w:tr>
        <w:tc>
          <w:tcPr>
            <w:tcW w:type="dxa" w:w="2880"/>
          </w:tcPr>
          <w:p>
            <w:r>
              <w:rPr>
                <w:sz w:val="18"/>
              </w:rPr>
              <w:t>Autokonsumpcja (własne zużycie)</w:t>
            </w:r>
          </w:p>
        </w:tc>
        <w:tc>
          <w:tcPr>
            <w:tcW w:type="dxa" w:w="2880"/>
          </w:tcPr>
          <w:p>
            <w:r>
              <w:rPr>
                <w:sz w:val="18"/>
              </w:rPr>
              <w:t>700-900 PLN/MWh</w:t>
            </w:r>
          </w:p>
        </w:tc>
        <w:tc>
          <w:tcPr>
            <w:tcW w:type="dxa" w:w="2880"/>
          </w:tcPr>
          <w:p>
            <w:r>
              <w:rPr>
                <w:sz w:val="18"/>
              </w:rPr>
              <w:t>Pełna wartość: energia + dystrybucja + opłaty</w:t>
            </w:r>
          </w:p>
        </w:tc>
      </w:tr>
      <w:tr>
        <w:tc>
          <w:tcPr>
            <w:tcW w:type="dxa" w:w="2880"/>
          </w:tcPr>
          <w:p>
            <w:r>
              <w:rPr>
                <w:sz w:val="18"/>
              </w:rPr>
              <w:t>Oddanie do sieci (net-billing)</w:t>
            </w:r>
          </w:p>
        </w:tc>
        <w:tc>
          <w:tcPr>
            <w:tcW w:type="dxa" w:w="2880"/>
          </w:tcPr>
          <w:p>
            <w:r>
              <w:rPr>
                <w:sz w:val="18"/>
              </w:rPr>
              <w:t>200-400 PLN/MWh</w:t>
            </w:r>
          </w:p>
        </w:tc>
        <w:tc>
          <w:tcPr>
            <w:tcW w:type="dxa" w:w="2880"/>
          </w:tcPr>
          <w:p>
            <w:r>
              <w:rPr>
                <w:sz w:val="18"/>
              </w:rPr>
              <w:t>Tylko składnik energetyczny wg RCE × 1,23</w:t>
            </w:r>
          </w:p>
        </w:tc>
      </w:tr>
      <w:tr>
        <w:tc>
          <w:tcPr>
            <w:tcW w:type="dxa" w:w="2880"/>
          </w:tcPr>
          <w:p>
            <w:r>
              <w:rPr>
                <w:sz w:val="18"/>
              </w:rPr>
              <w:t>Magazynowanie nadwyżek PV</w:t>
            </w:r>
          </w:p>
        </w:tc>
        <w:tc>
          <w:tcPr>
            <w:tcW w:type="dxa" w:w="2880"/>
          </w:tcPr>
          <w:p>
            <w:r>
              <w:rPr>
                <w:sz w:val="18"/>
              </w:rPr>
              <w:t>700-900 PLN/MWh</w:t>
            </w:r>
          </w:p>
        </w:tc>
        <w:tc>
          <w:tcPr>
            <w:tcW w:type="dxa" w:w="2880"/>
          </w:tcPr>
          <w:p>
            <w:r>
              <w:rPr>
                <w:sz w:val="18"/>
              </w:rPr>
              <w:t>Taka sama wartość jak autokonsumpcja</w:t>
            </w:r>
          </w:p>
        </w:tc>
      </w:tr>
    </w:tbl>
    <w:p/>
    <w:p>
      <w:r>
        <w:rPr>
          <w:b/>
        </w:rPr>
        <w:t xml:space="preserve">Wniosek: </w:t>
      </w:r>
      <w:r>
        <w:t>Każda kWh zmagazynowana i autokonsumowana zamiast oddana do sieci = oszczędność 300-500 PLN/MWh. Magazyn energii zwiększa autokonsumpcję PV z 25-40% do 60-80%.</w:t>
      </w:r>
    </w:p>
    <w:p>
      <w:pPr>
        <w:pStyle w:val="Heading2"/>
      </w:pPr>
      <w:r>
        <w:t>3.4. Dotacje i ulgi podatkowe</w:t>
      </w:r>
    </w:p>
    <w:p>
      <w:pPr>
        <w:pStyle w:val="Heading3"/>
      </w:pPr>
      <w:r>
        <w:t>Dostępne programy wsparcia: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Program</w:t>
            </w:r>
          </w:p>
        </w:tc>
        <w:tc>
          <w:tcPr>
            <w:tcW w:type="dxa" w:w="1728"/>
          </w:tcPr>
          <w:p>
            <w:r>
              <w:rPr>
                <w:b/>
                <w:sz w:val="18"/>
              </w:rPr>
              <w:t>Forma</w:t>
            </w:r>
          </w:p>
        </w:tc>
        <w:tc>
          <w:tcPr>
            <w:tcW w:type="dxa" w:w="1728"/>
          </w:tcPr>
          <w:p>
            <w:r>
              <w:rPr>
                <w:b/>
                <w:sz w:val="18"/>
              </w:rPr>
              <w:t>Kwota</w:t>
            </w:r>
          </w:p>
        </w:tc>
        <w:tc>
          <w:tcPr>
            <w:tcW w:type="dxa" w:w="1728"/>
          </w:tcPr>
          <w:p>
            <w:r>
              <w:rPr>
                <w:b/>
                <w:sz w:val="18"/>
              </w:rPr>
              <w:t>Dla kogo</w:t>
            </w:r>
          </w:p>
        </w:tc>
        <w:tc>
          <w:tcPr>
            <w:tcW w:type="dxa" w:w="1728"/>
          </w:tcPr>
          <w:p>
            <w:r>
              <w:rPr>
                <w:b/>
                <w:sz w:val="18"/>
              </w:rPr>
              <w:t>Status 2026</w:t>
            </w:r>
          </w:p>
        </w:tc>
      </w:tr>
      <w:tr>
        <w:tc>
          <w:tcPr>
            <w:tcW w:type="dxa" w:w="1728"/>
          </w:tcPr>
          <w:p>
            <w:r>
              <w:rPr>
                <w:sz w:val="18"/>
              </w:rPr>
              <w:t>Energia Plus (NFOŚiGW)</w:t>
            </w:r>
          </w:p>
        </w:tc>
        <w:tc>
          <w:tcPr>
            <w:tcW w:type="dxa" w:w="1728"/>
          </w:tcPr>
          <w:p>
            <w:r>
              <w:rPr>
                <w:sz w:val="18"/>
              </w:rPr>
              <w:t>Pożyczka preferencyjna</w:t>
            </w:r>
          </w:p>
        </w:tc>
        <w:tc>
          <w:tcPr>
            <w:tcW w:type="dxa" w:w="1728"/>
          </w:tcPr>
          <w:p>
            <w:r>
              <w:rPr>
                <w:sz w:val="18"/>
              </w:rPr>
              <w:t>0,5-500 mln PLN, umorzenie do 10%</w:t>
            </w:r>
          </w:p>
        </w:tc>
        <w:tc>
          <w:tcPr>
            <w:tcW w:type="dxa" w:w="1728"/>
          </w:tcPr>
          <w:p>
            <w:r>
              <w:rPr>
                <w:sz w:val="18"/>
              </w:rPr>
              <w:t>Przedsiębiorcy</w:t>
            </w:r>
          </w:p>
        </w:tc>
        <w:tc>
          <w:tcPr>
            <w:tcW w:type="dxa" w:w="1728"/>
          </w:tcPr>
          <w:p>
            <w:r>
              <w:rPr>
                <w:sz w:val="18"/>
              </w:rPr>
              <w:t>Nabór zakończony, możliwe wznowienie</w:t>
            </w:r>
          </w:p>
        </w:tc>
      </w:tr>
      <w:tr>
        <w:tc>
          <w:tcPr>
            <w:tcW w:type="dxa" w:w="1728"/>
          </w:tcPr>
          <w:p>
            <w:r>
              <w:rPr>
                <w:sz w:val="18"/>
              </w:rPr>
              <w:t>Magazyny Energii (KPO)</w:t>
            </w:r>
          </w:p>
        </w:tc>
        <w:tc>
          <w:tcPr>
            <w:tcW w:type="dxa" w:w="1728"/>
          </w:tcPr>
          <w:p>
            <w:r>
              <w:rPr>
                <w:sz w:val="18"/>
              </w:rPr>
              <w:t>Dotacja do 45-65%</w:t>
            </w:r>
          </w:p>
        </w:tc>
        <w:tc>
          <w:tcPr>
            <w:tcW w:type="dxa" w:w="1728"/>
          </w:tcPr>
          <w:p>
            <w:r>
              <w:rPr>
                <w:sz w:val="18"/>
              </w:rPr>
              <w:t>Min. 2 MW / 4 MWh</w:t>
            </w:r>
          </w:p>
        </w:tc>
        <w:tc>
          <w:tcPr>
            <w:tcW w:type="dxa" w:w="1728"/>
          </w:tcPr>
          <w:p>
            <w:r>
              <w:rPr>
                <w:sz w:val="18"/>
              </w:rPr>
              <w:t>Przedsiębiorcy (duże proj.)</w:t>
            </w:r>
          </w:p>
        </w:tc>
        <w:tc>
          <w:tcPr>
            <w:tcW w:type="dxa" w:w="1728"/>
          </w:tcPr>
          <w:p>
            <w:r>
              <w:rPr>
                <w:sz w:val="18"/>
              </w:rPr>
              <w:t>Alokacja wyczerpana</w:t>
            </w:r>
          </w:p>
        </w:tc>
      </w:tr>
      <w:tr>
        <w:tc>
          <w:tcPr>
            <w:tcW w:type="dxa" w:w="1728"/>
          </w:tcPr>
          <w:p>
            <w:r>
              <w:rPr>
                <w:sz w:val="18"/>
              </w:rPr>
              <w:t>Ulga termomodernizacyjna</w:t>
            </w:r>
          </w:p>
        </w:tc>
        <w:tc>
          <w:tcPr>
            <w:tcW w:type="dxa" w:w="1728"/>
          </w:tcPr>
          <w:p>
            <w:r>
              <w:rPr>
                <w:sz w:val="18"/>
              </w:rPr>
              <w:t>Odliczenie od dochodu</w:t>
            </w:r>
          </w:p>
        </w:tc>
        <w:tc>
          <w:tcPr>
            <w:tcW w:type="dxa" w:w="1728"/>
          </w:tcPr>
          <w:p>
            <w:r>
              <w:rPr>
                <w:sz w:val="18"/>
              </w:rPr>
              <w:t>Do 53 000 PLN</w:t>
            </w:r>
          </w:p>
        </w:tc>
        <w:tc>
          <w:tcPr>
            <w:tcW w:type="dxa" w:w="1728"/>
          </w:tcPr>
          <w:p>
            <w:r>
              <w:rPr>
                <w:sz w:val="18"/>
              </w:rPr>
              <w:t>Osoby fizyczne (JDG)</w:t>
            </w:r>
          </w:p>
        </w:tc>
        <w:tc>
          <w:tcPr>
            <w:tcW w:type="dxa" w:w="1728"/>
          </w:tcPr>
          <w:p>
            <w:r>
              <w:rPr>
                <w:sz w:val="18"/>
              </w:rPr>
              <w:t>Aktywna od 01.2025</w:t>
            </w:r>
          </w:p>
        </w:tc>
      </w:tr>
      <w:tr>
        <w:tc>
          <w:tcPr>
            <w:tcW w:type="dxa" w:w="1728"/>
          </w:tcPr>
          <w:p>
            <w:r>
              <w:rPr>
                <w:sz w:val="18"/>
              </w:rPr>
              <w:t>FEnIKS / FENG / RPO</w:t>
            </w:r>
          </w:p>
        </w:tc>
        <w:tc>
          <w:tcPr>
            <w:tcW w:type="dxa" w:w="1728"/>
          </w:tcPr>
          <w:p>
            <w:r>
              <w:rPr>
                <w:sz w:val="18"/>
              </w:rPr>
              <w:t>Dotacje UE</w:t>
            </w:r>
          </w:p>
        </w:tc>
        <w:tc>
          <w:tcPr>
            <w:tcW w:type="dxa" w:w="1728"/>
          </w:tcPr>
          <w:p>
            <w:r>
              <w:rPr>
                <w:sz w:val="18"/>
              </w:rPr>
              <w:t>Zależne od województwa</w:t>
            </w:r>
          </w:p>
        </w:tc>
        <w:tc>
          <w:tcPr>
            <w:tcW w:type="dxa" w:w="1728"/>
          </w:tcPr>
          <w:p>
            <w:r>
              <w:rPr>
                <w:sz w:val="18"/>
              </w:rPr>
              <w:t>MŚP i duże firmy</w:t>
            </w:r>
          </w:p>
        </w:tc>
        <w:tc>
          <w:tcPr>
            <w:tcW w:type="dxa" w:w="1728"/>
          </w:tcPr>
          <w:p>
            <w:r>
              <w:rPr>
                <w:sz w:val="18"/>
              </w:rPr>
              <w:t>Nabory regionalne</w:t>
            </w:r>
          </w:p>
        </w:tc>
      </w:tr>
    </w:tbl>
    <w:p/>
    <w:p>
      <w:r>
        <w:t>Uwaga: Główne programy dotacyjne na duże magazyny (KPO 4,15 mld PLN) mają wyczerpane alokacje. Dla zakładów produkcyjnych najlepsze opcje to regionalne fundusze UE (FEnIKS, RPO) oraz ewentualne wznowienie programu Energia Plus.</w:t>
      </w:r>
    </w:p>
    <w:p>
      <w:pPr>
        <w:pStyle w:val="Heading2"/>
      </w:pPr>
      <w:r>
        <w:t>3.5. Obowiązki prawne – podsumowanie</w:t>
      </w:r>
    </w:p>
    <w:p>
      <w:r>
        <w:t>Typowy scenariusz: zakład produkcyjny z PV (do 50 kW) + BESS (100-300 kWh):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Obowiązek</w:t>
            </w:r>
          </w:p>
        </w:tc>
        <w:tc>
          <w:tcPr>
            <w:tcW w:type="dxa" w:w="2880"/>
          </w:tcPr>
          <w:p>
            <w:r>
              <w:rPr>
                <w:b/>
                <w:sz w:val="18"/>
              </w:rPr>
              <w:t>Wymaganie</w:t>
            </w:r>
          </w:p>
        </w:tc>
        <w:tc>
          <w:tcPr>
            <w:tcW w:type="dxa" w:w="2880"/>
          </w:tcPr>
          <w:p>
            <w:r>
              <w:rPr>
                <w:b/>
                <w:sz w:val="18"/>
              </w:rPr>
              <w:t>Podstawa prawna</w:t>
            </w:r>
          </w:p>
        </w:tc>
      </w:tr>
      <w:tr>
        <w:tc>
          <w:tcPr>
            <w:tcW w:type="dxa" w:w="2880"/>
          </w:tcPr>
          <w:p>
            <w:r>
              <w:rPr>
                <w:sz w:val="18"/>
              </w:rPr>
              <w:t>Koncesja na magazynowanie</w:t>
            </w:r>
          </w:p>
        </w:tc>
        <w:tc>
          <w:tcPr>
            <w:tcW w:type="dxa" w:w="2880"/>
          </w:tcPr>
          <w:p>
            <w:r>
              <w:rPr>
                <w:sz w:val="18"/>
              </w:rPr>
              <w:t>NIE (moc &lt; 10 MW)</w:t>
            </w:r>
          </w:p>
        </w:tc>
        <w:tc>
          <w:tcPr>
            <w:tcW w:type="dxa" w:w="2880"/>
          </w:tcPr>
          <w:p>
            <w:r>
              <w:rPr>
                <w:sz w:val="18"/>
              </w:rPr>
              <w:t>Prawo energetyczne</w:t>
            </w:r>
          </w:p>
        </w:tc>
      </w:tr>
      <w:tr>
        <w:tc>
          <w:tcPr>
            <w:tcW w:type="dxa" w:w="2880"/>
          </w:tcPr>
          <w:p>
            <w:r>
              <w:rPr>
                <w:sz w:val="18"/>
              </w:rPr>
              <w:t>Wpis do rejestru OSD</w:t>
            </w:r>
          </w:p>
        </w:tc>
        <w:tc>
          <w:tcPr>
            <w:tcW w:type="dxa" w:w="2880"/>
          </w:tcPr>
          <w:p>
            <w:r>
              <w:rPr>
                <w:sz w:val="18"/>
              </w:rPr>
              <w:t>NIE (moc ≤ 50 kW)</w:t>
            </w:r>
          </w:p>
        </w:tc>
        <w:tc>
          <w:tcPr>
            <w:tcW w:type="dxa" w:w="2880"/>
          </w:tcPr>
          <w:p>
            <w:r>
              <w:rPr>
                <w:sz w:val="18"/>
              </w:rPr>
              <w:t>Prawo energetyczne</w:t>
            </w:r>
          </w:p>
        </w:tc>
      </w:tr>
      <w:tr>
        <w:tc>
          <w:tcPr>
            <w:tcW w:type="dxa" w:w="2880"/>
          </w:tcPr>
          <w:p>
            <w:r>
              <w:rPr>
                <w:sz w:val="18"/>
              </w:rPr>
              <w:t>Pozwolenie na budowę</w:t>
            </w:r>
          </w:p>
        </w:tc>
        <w:tc>
          <w:tcPr>
            <w:tcW w:type="dxa" w:w="2880"/>
          </w:tcPr>
          <w:p>
            <w:r>
              <w:rPr>
                <w:sz w:val="18"/>
              </w:rPr>
              <w:t>NIE (&lt; 30 kWh) / Zgłoszenie (30-300 kWh)</w:t>
            </w:r>
          </w:p>
        </w:tc>
        <w:tc>
          <w:tcPr>
            <w:tcW w:type="dxa" w:w="2880"/>
          </w:tcPr>
          <w:p>
            <w:r>
              <w:rPr>
                <w:sz w:val="18"/>
              </w:rPr>
              <w:t>Prawo budowlane (01.2026)</w:t>
            </w:r>
          </w:p>
        </w:tc>
      </w:tr>
      <w:tr>
        <w:tc>
          <w:tcPr>
            <w:tcW w:type="dxa" w:w="2880"/>
          </w:tcPr>
          <w:p>
            <w:r>
              <w:rPr>
                <w:sz w:val="18"/>
              </w:rPr>
              <w:t>Warunki przyłączenia</w:t>
            </w:r>
          </w:p>
        </w:tc>
        <w:tc>
          <w:tcPr>
            <w:tcW w:type="dxa" w:w="2880"/>
          </w:tcPr>
          <w:p>
            <w:r>
              <w:rPr>
                <w:sz w:val="18"/>
              </w:rPr>
              <w:t>Aktualizacja istniejących</w:t>
            </w:r>
          </w:p>
        </w:tc>
        <w:tc>
          <w:tcPr>
            <w:tcW w:type="dxa" w:w="2880"/>
          </w:tcPr>
          <w:p>
            <w:r>
              <w:rPr>
                <w:sz w:val="18"/>
              </w:rPr>
              <w:t>Prawo energetyczne</w:t>
            </w:r>
          </w:p>
        </w:tc>
      </w:tr>
      <w:tr>
        <w:tc>
          <w:tcPr>
            <w:tcW w:type="dxa" w:w="2880"/>
          </w:tcPr>
          <w:p>
            <w:r>
              <w:rPr>
                <w:sz w:val="18"/>
              </w:rPr>
              <w:t>Umowa z OSD/sprzedawcą</w:t>
            </w:r>
          </w:p>
        </w:tc>
        <w:tc>
          <w:tcPr>
            <w:tcW w:type="dxa" w:w="2880"/>
          </w:tcPr>
          <w:p>
            <w:r>
              <w:rPr>
                <w:sz w:val="18"/>
              </w:rPr>
              <w:t>Aktualizacja wymagana</w:t>
            </w:r>
          </w:p>
        </w:tc>
        <w:tc>
          <w:tcPr>
            <w:tcW w:type="dxa" w:w="2880"/>
          </w:tcPr>
          <w:p>
            <w:r>
              <w:rPr>
                <w:sz w:val="18"/>
              </w:rPr>
              <w:t>Prawo energetyczne</w:t>
            </w:r>
          </w:p>
        </w:tc>
      </w:tr>
      <w:tr>
        <w:tc>
          <w:tcPr>
            <w:tcW w:type="dxa" w:w="2880"/>
          </w:tcPr>
          <w:p>
            <w:r>
              <w:rPr>
                <w:sz w:val="18"/>
              </w:rPr>
              <w:t>Zatwierdzenie PSP</w:t>
            </w:r>
          </w:p>
        </w:tc>
        <w:tc>
          <w:tcPr>
            <w:tcW w:type="dxa" w:w="2880"/>
          </w:tcPr>
          <w:p>
            <w:r>
              <w:rPr>
                <w:sz w:val="18"/>
              </w:rPr>
              <w:t>TAK (dla 30-300 kWh)</w:t>
            </w:r>
          </w:p>
        </w:tc>
        <w:tc>
          <w:tcPr>
            <w:tcW w:type="dxa" w:w="2880"/>
          </w:tcPr>
          <w:p>
            <w:r>
              <w:rPr>
                <w:sz w:val="18"/>
              </w:rPr>
              <w:t>Prawo budowlane</w:t>
            </w:r>
          </w:p>
        </w:tc>
      </w:tr>
    </w:tbl>
    <w:p>
      <w:r>
        <w:br w:type="page"/>
      </w:r>
    </w:p>
    <w:p>
      <w:pPr>
        <w:pStyle w:val="Heading1"/>
      </w:pPr>
      <w:r>
        <w:t>4. Analiza technologiczna</w:t>
      </w:r>
    </w:p>
    <w:p>
      <w:pPr>
        <w:pStyle w:val="Heading2"/>
      </w:pPr>
      <w:r>
        <w:t>4.1. Producenci BESS dla przemysłu</w:t>
      </w:r>
    </w:p>
    <w:p>
      <w:r>
        <w:t>Na rynku dostępnych jest kilku wiodących producentów systemów BESS w segmencie C&amp;I (Commercial &amp; Industrial, pojemności 100 kWh – 5 MWh):</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Producent</w:t>
            </w:r>
          </w:p>
        </w:tc>
        <w:tc>
          <w:tcPr>
            <w:tcW w:type="dxa" w:w="1440"/>
          </w:tcPr>
          <w:p>
            <w:r>
              <w:rPr>
                <w:b/>
                <w:sz w:val="18"/>
              </w:rPr>
              <w:t>Model C&amp;I</w:t>
            </w:r>
          </w:p>
        </w:tc>
        <w:tc>
          <w:tcPr>
            <w:tcW w:type="dxa" w:w="1440"/>
          </w:tcPr>
          <w:p>
            <w:r>
              <w:rPr>
                <w:b/>
                <w:sz w:val="18"/>
              </w:rPr>
              <w:t>Pojemność</w:t>
            </w:r>
          </w:p>
        </w:tc>
        <w:tc>
          <w:tcPr>
            <w:tcW w:type="dxa" w:w="1440"/>
          </w:tcPr>
          <w:p>
            <w:r>
              <w:rPr>
                <w:b/>
                <w:sz w:val="18"/>
              </w:rPr>
              <w:t>Cykle</w:t>
            </w:r>
          </w:p>
        </w:tc>
        <w:tc>
          <w:tcPr>
            <w:tcW w:type="dxa" w:w="1440"/>
          </w:tcPr>
          <w:p>
            <w:r>
              <w:rPr>
                <w:b/>
                <w:sz w:val="18"/>
              </w:rPr>
              <w:t>RTE</w:t>
            </w:r>
          </w:p>
        </w:tc>
        <w:tc>
          <w:tcPr>
            <w:tcW w:type="dxa" w:w="1440"/>
          </w:tcPr>
          <w:p>
            <w:r>
              <w:rPr>
                <w:b/>
                <w:sz w:val="18"/>
              </w:rPr>
              <w:t>Chłodzenie</w:t>
            </w:r>
          </w:p>
        </w:tc>
      </w:tr>
      <w:tr>
        <w:tc>
          <w:tcPr>
            <w:tcW w:type="dxa" w:w="1440"/>
          </w:tcPr>
          <w:p>
            <w:r>
              <w:rPr>
                <w:sz w:val="18"/>
              </w:rPr>
              <w:t>CATL</w:t>
            </w:r>
          </w:p>
        </w:tc>
        <w:tc>
          <w:tcPr>
            <w:tcW w:type="dxa" w:w="1440"/>
          </w:tcPr>
          <w:p>
            <w:r>
              <w:rPr>
                <w:sz w:val="18"/>
              </w:rPr>
              <w:t>EnerOne</w:t>
            </w:r>
          </w:p>
        </w:tc>
        <w:tc>
          <w:tcPr>
            <w:tcW w:type="dxa" w:w="1440"/>
          </w:tcPr>
          <w:p>
            <w:r>
              <w:rPr>
                <w:sz w:val="18"/>
              </w:rPr>
              <w:t>232-407 kWh</w:t>
            </w:r>
          </w:p>
        </w:tc>
        <w:tc>
          <w:tcPr>
            <w:tcW w:type="dxa" w:w="1440"/>
          </w:tcPr>
          <w:p>
            <w:r>
              <w:rPr>
                <w:sz w:val="18"/>
              </w:rPr>
              <w:t>10 000</w:t>
            </w:r>
          </w:p>
        </w:tc>
        <w:tc>
          <w:tcPr>
            <w:tcW w:type="dxa" w:w="1440"/>
          </w:tcPr>
          <w:p>
            <w:r>
              <w:rPr>
                <w:sz w:val="18"/>
              </w:rPr>
              <w:t>~95%</w:t>
            </w:r>
          </w:p>
        </w:tc>
        <w:tc>
          <w:tcPr>
            <w:tcW w:type="dxa" w:w="1440"/>
          </w:tcPr>
          <w:p>
            <w:r>
              <w:rPr>
                <w:sz w:val="18"/>
              </w:rPr>
              <w:t>Cieczowe</w:t>
            </w:r>
          </w:p>
        </w:tc>
      </w:tr>
      <w:tr>
        <w:tc>
          <w:tcPr>
            <w:tcW w:type="dxa" w:w="1440"/>
          </w:tcPr>
          <w:p>
            <w:r>
              <w:rPr>
                <w:sz w:val="18"/>
              </w:rPr>
              <w:t>BYD</w:t>
            </w:r>
          </w:p>
        </w:tc>
        <w:tc>
          <w:tcPr>
            <w:tcW w:type="dxa" w:w="1440"/>
          </w:tcPr>
          <w:p>
            <w:r>
              <w:rPr>
                <w:sz w:val="18"/>
              </w:rPr>
              <w:t>MC Cube-T</w:t>
            </w:r>
          </w:p>
        </w:tc>
        <w:tc>
          <w:tcPr>
            <w:tcW w:type="dxa" w:w="1440"/>
          </w:tcPr>
          <w:p>
            <w:r>
              <w:rPr>
                <w:sz w:val="18"/>
              </w:rPr>
              <w:t>5 MWh (kontener)</w:t>
            </w:r>
          </w:p>
        </w:tc>
        <w:tc>
          <w:tcPr>
            <w:tcW w:type="dxa" w:w="1440"/>
          </w:tcPr>
          <w:p>
            <w:r>
              <w:rPr>
                <w:sz w:val="18"/>
              </w:rPr>
              <w:t>6 000+</w:t>
            </w:r>
          </w:p>
        </w:tc>
        <w:tc>
          <w:tcPr>
            <w:tcW w:type="dxa" w:w="1440"/>
          </w:tcPr>
          <w:p>
            <w:r>
              <w:rPr>
                <w:sz w:val="18"/>
              </w:rPr>
              <w:t>~95%</w:t>
            </w:r>
          </w:p>
        </w:tc>
        <w:tc>
          <w:tcPr>
            <w:tcW w:type="dxa" w:w="1440"/>
          </w:tcPr>
          <w:p>
            <w:r>
              <w:rPr>
                <w:sz w:val="18"/>
              </w:rPr>
              <w:t>Cieczowe</w:t>
            </w:r>
          </w:p>
        </w:tc>
      </w:tr>
      <w:tr>
        <w:tc>
          <w:tcPr>
            <w:tcW w:type="dxa" w:w="1440"/>
          </w:tcPr>
          <w:p>
            <w:r>
              <w:rPr>
                <w:sz w:val="18"/>
              </w:rPr>
              <w:t>Tesla</w:t>
            </w:r>
          </w:p>
        </w:tc>
        <w:tc>
          <w:tcPr>
            <w:tcW w:type="dxa" w:w="1440"/>
          </w:tcPr>
          <w:p>
            <w:r>
              <w:rPr>
                <w:sz w:val="18"/>
              </w:rPr>
              <w:t>Megapack 3</w:t>
            </w:r>
          </w:p>
        </w:tc>
        <w:tc>
          <w:tcPr>
            <w:tcW w:type="dxa" w:w="1440"/>
          </w:tcPr>
          <w:p>
            <w:r>
              <w:rPr>
                <w:sz w:val="18"/>
              </w:rPr>
              <w:t>5 MWh</w:t>
            </w:r>
          </w:p>
        </w:tc>
        <w:tc>
          <w:tcPr>
            <w:tcW w:type="dxa" w:w="1440"/>
          </w:tcPr>
          <w:p>
            <w:r>
              <w:rPr>
                <w:sz w:val="18"/>
              </w:rPr>
              <w:t>7 000+</w:t>
            </w:r>
          </w:p>
        </w:tc>
        <w:tc>
          <w:tcPr>
            <w:tcW w:type="dxa" w:w="1440"/>
          </w:tcPr>
          <w:p>
            <w:r>
              <w:rPr>
                <w:sz w:val="18"/>
              </w:rPr>
              <w:t>~92%</w:t>
            </w:r>
          </w:p>
        </w:tc>
        <w:tc>
          <w:tcPr>
            <w:tcW w:type="dxa" w:w="1440"/>
          </w:tcPr>
          <w:p>
            <w:r>
              <w:rPr>
                <w:sz w:val="18"/>
              </w:rPr>
              <w:t>Cieczowe</w:t>
            </w:r>
          </w:p>
        </w:tc>
      </w:tr>
      <w:tr>
        <w:tc>
          <w:tcPr>
            <w:tcW w:type="dxa" w:w="1440"/>
          </w:tcPr>
          <w:p>
            <w:r>
              <w:rPr>
                <w:sz w:val="18"/>
              </w:rPr>
              <w:t>Samsung SDI</w:t>
            </w:r>
          </w:p>
        </w:tc>
        <w:tc>
          <w:tcPr>
            <w:tcW w:type="dxa" w:w="1440"/>
          </w:tcPr>
          <w:p>
            <w:r>
              <w:rPr>
                <w:sz w:val="18"/>
              </w:rPr>
              <w:t>SBB 2.0</w:t>
            </w:r>
          </w:p>
        </w:tc>
        <w:tc>
          <w:tcPr>
            <w:tcW w:type="dxa" w:w="1440"/>
          </w:tcPr>
          <w:p>
            <w:r>
              <w:rPr>
                <w:sz w:val="18"/>
              </w:rPr>
              <w:t>3,8-6,1 MWh</w:t>
            </w:r>
          </w:p>
        </w:tc>
        <w:tc>
          <w:tcPr>
            <w:tcW w:type="dxa" w:w="1440"/>
          </w:tcPr>
          <w:p>
            <w:r>
              <w:rPr>
                <w:sz w:val="18"/>
              </w:rPr>
              <w:t>8 000+</w:t>
            </w:r>
          </w:p>
        </w:tc>
        <w:tc>
          <w:tcPr>
            <w:tcW w:type="dxa" w:w="1440"/>
          </w:tcPr>
          <w:p>
            <w:r>
              <w:rPr>
                <w:sz w:val="18"/>
              </w:rPr>
              <w:t>&gt;95%</w:t>
            </w:r>
          </w:p>
        </w:tc>
        <w:tc>
          <w:tcPr>
            <w:tcW w:type="dxa" w:w="1440"/>
          </w:tcPr>
          <w:p>
            <w:r>
              <w:rPr>
                <w:sz w:val="18"/>
              </w:rPr>
              <w:t>Cieczowe EDI</w:t>
            </w:r>
          </w:p>
        </w:tc>
      </w:tr>
      <w:tr>
        <w:tc>
          <w:tcPr>
            <w:tcW w:type="dxa" w:w="1440"/>
          </w:tcPr>
          <w:p>
            <w:r>
              <w:rPr>
                <w:sz w:val="18"/>
              </w:rPr>
              <w:t>Huawei</w:t>
            </w:r>
          </w:p>
        </w:tc>
        <w:tc>
          <w:tcPr>
            <w:tcW w:type="dxa" w:w="1440"/>
          </w:tcPr>
          <w:p>
            <w:r>
              <w:rPr>
                <w:sz w:val="18"/>
              </w:rPr>
              <w:t>LUNA2000-200</w:t>
            </w:r>
          </w:p>
        </w:tc>
        <w:tc>
          <w:tcPr>
            <w:tcW w:type="dxa" w:w="1440"/>
          </w:tcPr>
          <w:p>
            <w:r>
              <w:rPr>
                <w:sz w:val="18"/>
              </w:rPr>
              <w:t>97-200 kWh</w:t>
            </w:r>
          </w:p>
        </w:tc>
        <w:tc>
          <w:tcPr>
            <w:tcW w:type="dxa" w:w="1440"/>
          </w:tcPr>
          <w:p>
            <w:r>
              <w:rPr>
                <w:sz w:val="18"/>
              </w:rPr>
              <w:t>6 000+</w:t>
            </w:r>
          </w:p>
        </w:tc>
        <w:tc>
          <w:tcPr>
            <w:tcW w:type="dxa" w:w="1440"/>
          </w:tcPr>
          <w:p>
            <w:r>
              <w:rPr>
                <w:sz w:val="18"/>
              </w:rPr>
              <w:t>~95%</w:t>
            </w:r>
          </w:p>
        </w:tc>
        <w:tc>
          <w:tcPr>
            <w:tcW w:type="dxa" w:w="1440"/>
          </w:tcPr>
          <w:p>
            <w:r>
              <w:rPr>
                <w:sz w:val="18"/>
              </w:rPr>
              <w:t>Cieczowe</w:t>
            </w:r>
          </w:p>
        </w:tc>
      </w:tr>
      <w:tr>
        <w:tc>
          <w:tcPr>
            <w:tcW w:type="dxa" w:w="1440"/>
          </w:tcPr>
          <w:p>
            <w:r>
              <w:rPr>
                <w:sz w:val="18"/>
              </w:rPr>
              <w:t>Sungrow</w:t>
            </w:r>
          </w:p>
        </w:tc>
        <w:tc>
          <w:tcPr>
            <w:tcW w:type="dxa" w:w="1440"/>
          </w:tcPr>
          <w:p>
            <w:r>
              <w:rPr>
                <w:sz w:val="18"/>
              </w:rPr>
              <w:t>PowerStack 255CS</w:t>
            </w:r>
          </w:p>
        </w:tc>
        <w:tc>
          <w:tcPr>
            <w:tcW w:type="dxa" w:w="1440"/>
          </w:tcPr>
          <w:p>
            <w:r>
              <w:rPr>
                <w:sz w:val="18"/>
              </w:rPr>
              <w:t>257 kWh (do 6,4 MWh)</w:t>
            </w:r>
          </w:p>
        </w:tc>
        <w:tc>
          <w:tcPr>
            <w:tcW w:type="dxa" w:w="1440"/>
          </w:tcPr>
          <w:p>
            <w:r>
              <w:rPr>
                <w:sz w:val="18"/>
              </w:rPr>
              <w:t>6 000+</w:t>
            </w:r>
          </w:p>
        </w:tc>
        <w:tc>
          <w:tcPr>
            <w:tcW w:type="dxa" w:w="1440"/>
          </w:tcPr>
          <w:p>
            <w:r>
              <w:rPr>
                <w:sz w:val="18"/>
              </w:rPr>
              <w:t>90%</w:t>
            </w:r>
          </w:p>
        </w:tc>
        <w:tc>
          <w:tcPr>
            <w:tcW w:type="dxa" w:w="1440"/>
          </w:tcPr>
          <w:p>
            <w:r>
              <w:rPr>
                <w:sz w:val="18"/>
              </w:rPr>
              <w:t>Cieczowe</w:t>
            </w:r>
          </w:p>
        </w:tc>
      </w:tr>
      <w:tr>
        <w:tc>
          <w:tcPr>
            <w:tcW w:type="dxa" w:w="1440"/>
          </w:tcPr>
          <w:p>
            <w:r>
              <w:rPr>
                <w:sz w:val="18"/>
              </w:rPr>
              <w:t>Pylontech</w:t>
            </w:r>
          </w:p>
        </w:tc>
        <w:tc>
          <w:tcPr>
            <w:tcW w:type="dxa" w:w="1440"/>
          </w:tcPr>
          <w:p>
            <w:r>
              <w:rPr>
                <w:sz w:val="18"/>
              </w:rPr>
              <w:t>Force H2</w:t>
            </w:r>
          </w:p>
        </w:tc>
        <w:tc>
          <w:tcPr>
            <w:tcW w:type="dxa" w:w="1440"/>
          </w:tcPr>
          <w:p>
            <w:r>
              <w:rPr>
                <w:sz w:val="18"/>
              </w:rPr>
              <w:t>Do 215 kWh</w:t>
            </w:r>
          </w:p>
        </w:tc>
        <w:tc>
          <w:tcPr>
            <w:tcW w:type="dxa" w:w="1440"/>
          </w:tcPr>
          <w:p>
            <w:r>
              <w:rPr>
                <w:sz w:val="18"/>
              </w:rPr>
              <w:t>6 000+</w:t>
            </w:r>
          </w:p>
        </w:tc>
        <w:tc>
          <w:tcPr>
            <w:tcW w:type="dxa" w:w="1440"/>
          </w:tcPr>
          <w:p>
            <w:r>
              <w:rPr>
                <w:sz w:val="18"/>
              </w:rPr>
              <w:t>&gt;95%</w:t>
            </w:r>
          </w:p>
        </w:tc>
        <w:tc>
          <w:tcPr>
            <w:tcW w:type="dxa" w:w="1440"/>
          </w:tcPr>
          <w:p>
            <w:r>
              <w:rPr>
                <w:sz w:val="18"/>
              </w:rPr>
              <w:t>Powietrzne</w:t>
            </w:r>
          </w:p>
        </w:tc>
      </w:tr>
    </w:tbl>
    <w:p/>
    <w:p>
      <w:pPr>
        <w:pStyle w:val="Heading3"/>
      </w:pPr>
      <w:r>
        <w:t>Rekomendacje dla zakładów produkcyjnych:</w:t>
      </w:r>
    </w:p>
    <w:p>
      <w:pPr>
        <w:pStyle w:val="ListBullet"/>
      </w:pPr>
      <w:r>
        <w:t>CATL EnerOne (232-407 kWh) – najlepsza żywotność (10 000 cykli), dystrybutor w PL: 7SUN</w:t>
      </w:r>
    </w:p>
    <w:p>
      <w:pPr>
        <w:pStyle w:val="ListBullet"/>
      </w:pPr>
      <w:r>
        <w:t>Sungrow PowerStack 255CS (257 kWh, skalowalne do 6,4 MWh) – świetny stosunek ceny do jakości</w:t>
      </w:r>
    </w:p>
    <w:p>
      <w:pPr>
        <w:pStyle w:val="ListBullet"/>
      </w:pPr>
      <w:r>
        <w:t>Huawei LUNA2000-200 (97-200 kWh) – pełna integracja z ekosystemem FusionSolar</w:t>
      </w:r>
    </w:p>
    <w:p>
      <w:pPr>
        <w:pStyle w:val="Heading2"/>
      </w:pPr>
      <w:r>
        <w:t>4.2. Technologia baterii: LFP vs NMC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Parametr</w:t>
            </w:r>
          </w:p>
        </w:tc>
        <w:tc>
          <w:tcPr>
            <w:tcW w:type="dxa" w:w="2880"/>
          </w:tcPr>
          <w:p>
            <w:r>
              <w:rPr>
                <w:b/>
                <w:sz w:val="18"/>
              </w:rPr>
              <w:t>LFP (LiFePO₄)</w:t>
            </w:r>
          </w:p>
        </w:tc>
        <w:tc>
          <w:tcPr>
            <w:tcW w:type="dxa" w:w="2880"/>
          </w:tcPr>
          <w:p>
            <w:r>
              <w:rPr>
                <w:b/>
                <w:sz w:val="18"/>
              </w:rPr>
              <w:t>NMC</w:t>
            </w:r>
          </w:p>
        </w:tc>
      </w:tr>
      <w:tr>
        <w:tc>
          <w:tcPr>
            <w:tcW w:type="dxa" w:w="2880"/>
          </w:tcPr>
          <w:p>
            <w:r>
              <w:rPr>
                <w:sz w:val="18"/>
              </w:rPr>
              <w:t>Gęstość energii</w:t>
            </w:r>
          </w:p>
        </w:tc>
        <w:tc>
          <w:tcPr>
            <w:tcW w:type="dxa" w:w="2880"/>
          </w:tcPr>
          <w:p>
            <w:r>
              <w:rPr>
                <w:sz w:val="18"/>
              </w:rPr>
              <w:t>90-120 Wh/kg</w:t>
            </w:r>
          </w:p>
        </w:tc>
        <w:tc>
          <w:tcPr>
            <w:tcW w:type="dxa" w:w="2880"/>
          </w:tcPr>
          <w:p>
            <w:r>
              <w:rPr>
                <w:sz w:val="18"/>
              </w:rPr>
              <w:t>150-220 Wh/kg</w:t>
            </w:r>
          </w:p>
        </w:tc>
      </w:tr>
      <w:tr>
        <w:tc>
          <w:tcPr>
            <w:tcW w:type="dxa" w:w="2880"/>
          </w:tcPr>
          <w:p>
            <w:r>
              <w:rPr>
                <w:sz w:val="18"/>
              </w:rPr>
              <w:t>Cykle życia (do 80% SOH)</w:t>
            </w:r>
          </w:p>
        </w:tc>
        <w:tc>
          <w:tcPr>
            <w:tcW w:type="dxa" w:w="2880"/>
          </w:tcPr>
          <w:p>
            <w:r>
              <w:rPr>
                <w:sz w:val="18"/>
              </w:rPr>
              <w:t>4 000 – 10 000</w:t>
            </w:r>
          </w:p>
        </w:tc>
        <w:tc>
          <w:tcPr>
            <w:tcW w:type="dxa" w:w="2880"/>
          </w:tcPr>
          <w:p>
            <w:r>
              <w:rPr>
                <w:sz w:val="18"/>
              </w:rPr>
              <w:t>1 000 – 5 000</w:t>
            </w:r>
          </w:p>
        </w:tc>
      </w:tr>
      <w:tr>
        <w:tc>
          <w:tcPr>
            <w:tcW w:type="dxa" w:w="2880"/>
          </w:tcPr>
          <w:p>
            <w:r>
              <w:rPr>
                <w:sz w:val="18"/>
              </w:rPr>
              <w:t>Temp. thermal runaway</w:t>
            </w:r>
          </w:p>
        </w:tc>
        <w:tc>
          <w:tcPr>
            <w:tcW w:type="dxa" w:w="2880"/>
          </w:tcPr>
          <w:p>
            <w:r>
              <w:rPr>
                <w:sz w:val="18"/>
              </w:rPr>
              <w:t>270°C</w:t>
            </w:r>
          </w:p>
        </w:tc>
        <w:tc>
          <w:tcPr>
            <w:tcW w:type="dxa" w:w="2880"/>
          </w:tcPr>
          <w:p>
            <w:r>
              <w:rPr>
                <w:sz w:val="18"/>
              </w:rPr>
              <w:t>210°C</w:t>
            </w:r>
          </w:p>
        </w:tc>
      </w:tr>
      <w:tr>
        <w:tc>
          <w:tcPr>
            <w:tcW w:type="dxa" w:w="2880"/>
          </w:tcPr>
          <w:p>
            <w:r>
              <w:rPr>
                <w:sz w:val="18"/>
              </w:rPr>
              <w:t>Ryzyko thermal runaway</w:t>
            </w:r>
          </w:p>
        </w:tc>
        <w:tc>
          <w:tcPr>
            <w:tcW w:type="dxa" w:w="2880"/>
          </w:tcPr>
          <w:p>
            <w:r>
              <w:rPr>
                <w:sz w:val="18"/>
              </w:rPr>
              <w:t>80% mniejsze</w:t>
            </w:r>
          </w:p>
        </w:tc>
        <w:tc>
          <w:tcPr>
            <w:tcW w:type="dxa" w:w="2880"/>
          </w:tcPr>
          <w:p>
            <w:r>
              <w:rPr>
                <w:sz w:val="18"/>
              </w:rPr>
              <w:t>Wyższe</w:t>
            </w:r>
          </w:p>
        </w:tc>
      </w:tr>
      <w:tr>
        <w:tc>
          <w:tcPr>
            <w:tcW w:type="dxa" w:w="2880"/>
          </w:tcPr>
          <w:p>
            <w:r>
              <w:rPr>
                <w:sz w:val="18"/>
              </w:rPr>
              <w:t>Koszt ogniw (2025)</w:t>
            </w:r>
          </w:p>
        </w:tc>
        <w:tc>
          <w:tcPr>
            <w:tcW w:type="dxa" w:w="2880"/>
          </w:tcPr>
          <w:p>
            <w:r>
              <w:rPr>
                <w:sz w:val="18"/>
              </w:rPr>
              <w:t>~60-80 USD/kWh</w:t>
            </w:r>
          </w:p>
        </w:tc>
        <w:tc>
          <w:tcPr>
            <w:tcW w:type="dxa" w:w="2880"/>
          </w:tcPr>
          <w:p>
            <w:r>
              <w:rPr>
                <w:sz w:val="18"/>
              </w:rPr>
              <w:t>~80-120 USD/kWh</w:t>
            </w:r>
          </w:p>
        </w:tc>
      </w:tr>
      <w:tr>
        <w:tc>
          <w:tcPr>
            <w:tcW w:type="dxa" w:w="2880"/>
          </w:tcPr>
          <w:p>
            <w:r>
              <w:rPr>
                <w:sz w:val="18"/>
              </w:rPr>
              <w:t>Degradacja roczna</w:t>
            </w:r>
          </w:p>
        </w:tc>
        <w:tc>
          <w:tcPr>
            <w:tcW w:type="dxa" w:w="2880"/>
          </w:tcPr>
          <w:p>
            <w:r>
              <w:rPr>
                <w:sz w:val="18"/>
              </w:rPr>
              <w:t>~1,5-2%</w:t>
            </w:r>
          </w:p>
        </w:tc>
        <w:tc>
          <w:tcPr>
            <w:tcW w:type="dxa" w:w="2880"/>
          </w:tcPr>
          <w:p>
            <w:r>
              <w:rPr>
                <w:sz w:val="18"/>
              </w:rPr>
              <w:t>~2-3%</w:t>
            </w:r>
          </w:p>
        </w:tc>
      </w:tr>
      <w:tr>
        <w:tc>
          <w:tcPr>
            <w:tcW w:type="dxa" w:w="2880"/>
          </w:tcPr>
          <w:p>
            <w:r>
              <w:rPr>
                <w:sz w:val="18"/>
              </w:rPr>
              <w:t>Kobalt</w:t>
            </w:r>
          </w:p>
        </w:tc>
        <w:tc>
          <w:tcPr>
            <w:tcW w:type="dxa" w:w="2880"/>
          </w:tcPr>
          <w:p>
            <w:r>
              <w:rPr>
                <w:sz w:val="18"/>
              </w:rPr>
              <w:t>NIE</w:t>
            </w:r>
          </w:p>
        </w:tc>
        <w:tc>
          <w:tcPr>
            <w:tcW w:type="dxa" w:w="2880"/>
          </w:tcPr>
          <w:p>
            <w:r>
              <w:rPr>
                <w:sz w:val="18"/>
              </w:rPr>
              <w:t>TAK</w:t>
            </w:r>
          </w:p>
        </w:tc>
      </w:tr>
    </w:tbl>
    <w:p/>
    <w:p>
      <w:r>
        <w:rPr>
          <w:b/>
        </w:rPr>
        <w:t xml:space="preserve">Rekomendacja: LFP bezwzględnie. </w:t>
      </w:r>
      <w:r>
        <w:t>Dla stacjonarnych magazynów przemysłowych LFP wygrywa we wszystkich kluczowych parametrach: bezpieczeństwo, żywotność, koszt cyklu. Gabaryty nie są ograniczeniem w zakładzie produkcyjnym.</w:t>
      </w:r>
    </w:p>
    <w:p>
      <w:pPr>
        <w:pStyle w:val="Heading2"/>
      </w:pPr>
      <w:r>
        <w:t>4.3. Oprogramowanie EMS (Energy Management System)</w:t>
      </w:r>
    </w:p>
    <w:p>
      <w:r>
        <w:t>System EMS jest kluczowym elementem strategii – to oprogramowanie decyduje kiedy ładować/rozładowywać magazyn na podstawie cen z TGE, prognoz pogody, profilu zużycia zakładu i prognozy produkcji PV.</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System</w:t>
            </w:r>
          </w:p>
        </w:tc>
        <w:tc>
          <w:tcPr>
            <w:tcW w:type="dxa" w:w="1728"/>
          </w:tcPr>
          <w:p>
            <w:r>
              <w:rPr>
                <w:b/>
                <w:sz w:val="18"/>
              </w:rPr>
              <w:t>Ceny TGE</w:t>
            </w:r>
          </w:p>
        </w:tc>
        <w:tc>
          <w:tcPr>
            <w:tcW w:type="dxa" w:w="1728"/>
          </w:tcPr>
          <w:p>
            <w:r>
              <w:rPr>
                <w:b/>
                <w:sz w:val="18"/>
              </w:rPr>
              <w:t>AI/ML</w:t>
            </w:r>
          </w:p>
        </w:tc>
        <w:tc>
          <w:tcPr>
            <w:tcW w:type="dxa" w:w="1728"/>
          </w:tcPr>
          <w:p>
            <w:r>
              <w:rPr>
                <w:b/>
                <w:sz w:val="18"/>
              </w:rPr>
              <w:t>Arbitraż</w:t>
            </w:r>
          </w:p>
        </w:tc>
        <w:tc>
          <w:tcPr>
            <w:tcW w:type="dxa" w:w="1728"/>
          </w:tcPr>
          <w:p>
            <w:r>
              <w:rPr>
                <w:b/>
                <w:sz w:val="18"/>
              </w:rPr>
              <w:t>Dla PL</w:t>
            </w:r>
          </w:p>
        </w:tc>
      </w:tr>
      <w:tr>
        <w:tc>
          <w:tcPr>
            <w:tcW w:type="dxa" w:w="1728"/>
          </w:tcPr>
          <w:p>
            <w:r>
              <w:rPr>
                <w:sz w:val="18"/>
              </w:rPr>
              <w:t>ENNO-EMS (Ennovation Tech.)</w:t>
            </w:r>
          </w:p>
        </w:tc>
        <w:tc>
          <w:tcPr>
            <w:tcW w:type="dxa" w:w="1728"/>
          </w:tcPr>
          <w:p>
            <w:r>
              <w:rPr>
                <w:sz w:val="18"/>
              </w:rPr>
              <w:t>TAK (natywnie)</w:t>
            </w:r>
          </w:p>
        </w:tc>
        <w:tc>
          <w:tcPr>
            <w:tcW w:type="dxa" w:w="1728"/>
          </w:tcPr>
          <w:p>
            <w:r>
              <w:rPr>
                <w:sz w:val="18"/>
              </w:rPr>
              <w:t>Tak</w:t>
            </w:r>
          </w:p>
        </w:tc>
        <w:tc>
          <w:tcPr>
            <w:tcW w:type="dxa" w:w="1728"/>
          </w:tcPr>
          <w:p>
            <w:r>
              <w:rPr>
                <w:sz w:val="18"/>
              </w:rPr>
              <w:t>TAK</w:t>
            </w:r>
          </w:p>
        </w:tc>
        <w:tc>
          <w:tcPr>
            <w:tcW w:type="dxa" w:w="1728"/>
          </w:tcPr>
          <w:p>
            <w:r>
              <w:rPr>
                <w:sz w:val="18"/>
              </w:rPr>
              <w:t>TAK – polski producent</w:t>
            </w:r>
          </w:p>
        </w:tc>
      </w:tr>
      <w:tr>
        <w:tc>
          <w:tcPr>
            <w:tcW w:type="dxa" w:w="1728"/>
          </w:tcPr>
          <w:p>
            <w:r>
              <w:rPr>
                <w:sz w:val="18"/>
              </w:rPr>
              <w:t>Tibo Energy Alice</w:t>
            </w:r>
          </w:p>
        </w:tc>
        <w:tc>
          <w:tcPr>
            <w:tcW w:type="dxa" w:w="1728"/>
          </w:tcPr>
          <w:p>
            <w:r>
              <w:rPr>
                <w:sz w:val="18"/>
              </w:rPr>
              <w:t>Tak (EU)</w:t>
            </w:r>
          </w:p>
        </w:tc>
        <w:tc>
          <w:tcPr>
            <w:tcW w:type="dxa" w:w="1728"/>
          </w:tcPr>
          <w:p>
            <w:r>
              <w:rPr>
                <w:sz w:val="18"/>
              </w:rPr>
              <w:t>TAK (najlepsza AI)</w:t>
            </w:r>
          </w:p>
        </w:tc>
        <w:tc>
          <w:tcPr>
            <w:tcW w:type="dxa" w:w="1728"/>
          </w:tcPr>
          <w:p>
            <w:r>
              <w:rPr>
                <w:sz w:val="18"/>
              </w:rPr>
              <w:t>TAK</w:t>
            </w:r>
          </w:p>
        </w:tc>
        <w:tc>
          <w:tcPr>
            <w:tcW w:type="dxa" w:w="1728"/>
          </w:tcPr>
          <w:p>
            <w:r>
              <w:rPr>
                <w:sz w:val="18"/>
              </w:rPr>
              <w:t>Częściowo</w:t>
            </w:r>
          </w:p>
        </w:tc>
      </w:tr>
      <w:tr>
        <w:tc>
          <w:tcPr>
            <w:tcW w:type="dxa" w:w="1728"/>
          </w:tcPr>
          <w:p>
            <w:r>
              <w:rPr>
                <w:sz w:val="18"/>
              </w:rPr>
              <w:t>gridX XENON</w:t>
            </w:r>
          </w:p>
        </w:tc>
        <w:tc>
          <w:tcPr>
            <w:tcW w:type="dxa" w:w="1728"/>
          </w:tcPr>
          <w:p>
            <w:r>
              <w:rPr>
                <w:sz w:val="18"/>
              </w:rPr>
              <w:t>Tak (EU)</w:t>
            </w:r>
          </w:p>
        </w:tc>
        <w:tc>
          <w:tcPr>
            <w:tcW w:type="dxa" w:w="1728"/>
          </w:tcPr>
          <w:p>
            <w:r>
              <w:rPr>
                <w:sz w:val="18"/>
              </w:rPr>
              <w:t>Tak</w:t>
            </w:r>
          </w:p>
        </w:tc>
        <w:tc>
          <w:tcPr>
            <w:tcW w:type="dxa" w:w="1728"/>
          </w:tcPr>
          <w:p>
            <w:r>
              <w:rPr>
                <w:sz w:val="18"/>
              </w:rPr>
              <w:t>Tak</w:t>
            </w:r>
          </w:p>
        </w:tc>
        <w:tc>
          <w:tcPr>
            <w:tcW w:type="dxa" w:w="1728"/>
          </w:tcPr>
          <w:p>
            <w:r>
              <w:rPr>
                <w:sz w:val="18"/>
              </w:rPr>
              <w:t>Częściowo</w:t>
            </w:r>
          </w:p>
        </w:tc>
      </w:tr>
      <w:tr>
        <w:tc>
          <w:tcPr>
            <w:tcW w:type="dxa" w:w="1728"/>
          </w:tcPr>
          <w:p>
            <w:r>
              <w:rPr>
                <w:sz w:val="18"/>
              </w:rPr>
              <w:t>Huawei FusionSolar</w:t>
            </w:r>
          </w:p>
        </w:tc>
        <w:tc>
          <w:tcPr>
            <w:tcW w:type="dxa" w:w="1728"/>
          </w:tcPr>
          <w:p>
            <w:r>
              <w:rPr>
                <w:sz w:val="18"/>
              </w:rPr>
              <w:t>Nie natywnie</w:t>
            </w:r>
          </w:p>
        </w:tc>
        <w:tc>
          <w:tcPr>
            <w:tcW w:type="dxa" w:w="1728"/>
          </w:tcPr>
          <w:p>
            <w:r>
              <w:rPr>
                <w:sz w:val="18"/>
              </w:rPr>
              <w:t>Nie</w:t>
            </w:r>
          </w:p>
        </w:tc>
        <w:tc>
          <w:tcPr>
            <w:tcW w:type="dxa" w:w="1728"/>
          </w:tcPr>
          <w:p>
            <w:r>
              <w:rPr>
                <w:sz w:val="18"/>
              </w:rPr>
              <w:t>Nie</w:t>
            </w:r>
          </w:p>
        </w:tc>
        <w:tc>
          <w:tcPr>
            <w:tcW w:type="dxa" w:w="1728"/>
          </w:tcPr>
          <w:p>
            <w:r>
              <w:rPr>
                <w:sz w:val="18"/>
              </w:rPr>
              <w:t>Tak (ekosystem Huawei)</w:t>
            </w:r>
          </w:p>
        </w:tc>
      </w:tr>
      <w:tr>
        <w:tc>
          <w:tcPr>
            <w:tcW w:type="dxa" w:w="1728"/>
          </w:tcPr>
          <w:p>
            <w:r>
              <w:rPr>
                <w:sz w:val="18"/>
              </w:rPr>
              <w:t>Victron VRM</w:t>
            </w:r>
          </w:p>
        </w:tc>
        <w:tc>
          <w:tcPr>
            <w:tcW w:type="dxa" w:w="1728"/>
          </w:tcPr>
          <w:p>
            <w:r>
              <w:rPr>
                <w:sz w:val="18"/>
              </w:rPr>
              <w:t>Nie natywnie</w:t>
            </w:r>
          </w:p>
        </w:tc>
        <w:tc>
          <w:tcPr>
            <w:tcW w:type="dxa" w:w="1728"/>
          </w:tcPr>
          <w:p>
            <w:r>
              <w:rPr>
                <w:sz w:val="18"/>
              </w:rPr>
              <w:t>Nie</w:t>
            </w:r>
          </w:p>
        </w:tc>
        <w:tc>
          <w:tcPr>
            <w:tcW w:type="dxa" w:w="1728"/>
          </w:tcPr>
          <w:p>
            <w:r>
              <w:rPr>
                <w:sz w:val="18"/>
              </w:rPr>
              <w:t>Nie</w:t>
            </w:r>
          </w:p>
        </w:tc>
        <w:tc>
          <w:tcPr>
            <w:tcW w:type="dxa" w:w="1728"/>
          </w:tcPr>
          <w:p>
            <w:r>
              <w:rPr>
                <w:sz w:val="18"/>
              </w:rPr>
              <w:t>Tak (otwarta arch.)</w:t>
            </w:r>
          </w:p>
        </w:tc>
      </w:tr>
      <w:tr>
        <w:tc>
          <w:tcPr>
            <w:tcW w:type="dxa" w:w="1728"/>
          </w:tcPr>
          <w:p>
            <w:r>
              <w:rPr>
                <w:sz w:val="18"/>
              </w:rPr>
              <w:t>MICOMA EMS</w:t>
            </w:r>
          </w:p>
        </w:tc>
        <w:tc>
          <w:tcPr>
            <w:tcW w:type="dxa" w:w="1728"/>
          </w:tcPr>
          <w:p>
            <w:r>
              <w:rPr>
                <w:sz w:val="18"/>
              </w:rPr>
              <w:t>Nie</w:t>
            </w:r>
          </w:p>
        </w:tc>
        <w:tc>
          <w:tcPr>
            <w:tcW w:type="dxa" w:w="1728"/>
          </w:tcPr>
          <w:p>
            <w:r>
              <w:rPr>
                <w:sz w:val="18"/>
              </w:rPr>
              <w:t>Nie</w:t>
            </w:r>
          </w:p>
        </w:tc>
        <w:tc>
          <w:tcPr>
            <w:tcW w:type="dxa" w:w="1728"/>
          </w:tcPr>
          <w:p>
            <w:r>
              <w:rPr>
                <w:sz w:val="18"/>
              </w:rPr>
              <w:t>Nie</w:t>
            </w:r>
          </w:p>
        </w:tc>
        <w:tc>
          <w:tcPr>
            <w:tcW w:type="dxa" w:w="1728"/>
          </w:tcPr>
          <w:p>
            <w:r>
              <w:rPr>
                <w:sz w:val="18"/>
              </w:rPr>
              <w:t>TAK – polski</w:t>
            </w:r>
          </w:p>
        </w:tc>
      </w:tr>
    </w:tbl>
    <w:p/>
    <w:p>
      <w:r>
        <w:rPr>
          <w:b/>
        </w:rPr>
        <w:t xml:space="preserve">Rekomendacja: ENNO-EMS </w:t>
      </w:r>
      <w:r>
        <w:t>jako pierwszy wybór (natywna integracja z TGE, polski producent). Alternatywa: Tibo Energy Alice (najlepsza AI – 45-61% oszczędności vs systemy rule-based).</w:t>
      </w:r>
    </w:p>
    <w:p>
      <w:pPr>
        <w:pStyle w:val="Heading2"/>
      </w:pPr>
      <w:r>
        <w:t>4.4. Integracja z istniejącym PV: AC-coupled vs DC-coupled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Parametr</w:t>
            </w:r>
          </w:p>
        </w:tc>
        <w:tc>
          <w:tcPr>
            <w:tcW w:type="dxa" w:w="2880"/>
          </w:tcPr>
          <w:p>
            <w:r>
              <w:rPr>
                <w:b/>
                <w:sz w:val="18"/>
              </w:rPr>
              <w:t>AC-coupled</w:t>
            </w:r>
          </w:p>
        </w:tc>
        <w:tc>
          <w:tcPr>
            <w:tcW w:type="dxa" w:w="2880"/>
          </w:tcPr>
          <w:p>
            <w:r>
              <w:rPr>
                <w:b/>
                <w:sz w:val="18"/>
              </w:rPr>
              <w:t>DC-coupled</w:t>
            </w:r>
          </w:p>
        </w:tc>
      </w:tr>
      <w:tr>
        <w:tc>
          <w:tcPr>
            <w:tcW w:type="dxa" w:w="2880"/>
          </w:tcPr>
          <w:p>
            <w:r>
              <w:rPr>
                <w:sz w:val="18"/>
              </w:rPr>
              <w:t>Sprawność</w:t>
            </w:r>
          </w:p>
        </w:tc>
        <w:tc>
          <w:tcPr>
            <w:tcW w:type="dxa" w:w="2880"/>
          </w:tcPr>
          <w:p>
            <w:r>
              <w:rPr>
                <w:sz w:val="18"/>
              </w:rPr>
              <w:t>90-94% (3 konwersje)</w:t>
            </w:r>
          </w:p>
        </w:tc>
        <w:tc>
          <w:tcPr>
            <w:tcW w:type="dxa" w:w="2880"/>
          </w:tcPr>
          <w:p>
            <w:r>
              <w:rPr>
                <w:sz w:val="18"/>
              </w:rPr>
              <w:t>96-98% (1 konwersja)</w:t>
            </w:r>
          </w:p>
        </w:tc>
      </w:tr>
      <w:tr>
        <w:tc>
          <w:tcPr>
            <w:tcW w:type="dxa" w:w="2880"/>
          </w:tcPr>
          <w:p>
            <w:r>
              <w:rPr>
                <w:sz w:val="18"/>
              </w:rPr>
              <w:t>Retrofit do istniejącego PV</w:t>
            </w:r>
          </w:p>
        </w:tc>
        <w:tc>
          <w:tcPr>
            <w:tcW w:type="dxa" w:w="2880"/>
          </w:tcPr>
          <w:p>
            <w:r>
              <w:rPr>
                <w:sz w:val="18"/>
              </w:rPr>
              <w:t>ŁATWY – brak zmian w PV</w:t>
            </w:r>
          </w:p>
        </w:tc>
        <w:tc>
          <w:tcPr>
            <w:tcW w:type="dxa" w:w="2880"/>
          </w:tcPr>
          <w:p>
            <w:r>
              <w:rPr>
                <w:sz w:val="18"/>
              </w:rPr>
              <w:t>TRUDNY – wymaga falownika hybrydowego</w:t>
            </w:r>
          </w:p>
        </w:tc>
      </w:tr>
      <w:tr>
        <w:tc>
          <w:tcPr>
            <w:tcW w:type="dxa" w:w="2880"/>
          </w:tcPr>
          <w:p>
            <w:r>
              <w:rPr>
                <w:sz w:val="18"/>
              </w:rPr>
              <w:t>Elastyczność producentów</w:t>
            </w:r>
          </w:p>
        </w:tc>
        <w:tc>
          <w:tcPr>
            <w:tcW w:type="dxa" w:w="2880"/>
          </w:tcPr>
          <w:p>
            <w:r>
              <w:rPr>
                <w:sz w:val="18"/>
              </w:rPr>
              <w:t>Wysoka</w:t>
            </w:r>
          </w:p>
        </w:tc>
        <w:tc>
          <w:tcPr>
            <w:tcW w:type="dxa" w:w="2880"/>
          </w:tcPr>
          <w:p>
            <w:r>
              <w:rPr>
                <w:sz w:val="18"/>
              </w:rPr>
              <w:t>Niska (jeden ekosystem)</w:t>
            </w:r>
          </w:p>
        </w:tc>
      </w:tr>
      <w:tr>
        <w:tc>
          <w:tcPr>
            <w:tcW w:type="dxa" w:w="2880"/>
          </w:tcPr>
          <w:p>
            <w:r>
              <w:rPr>
                <w:sz w:val="18"/>
              </w:rPr>
              <w:t>Koszt instalacji</w:t>
            </w:r>
          </w:p>
        </w:tc>
        <w:tc>
          <w:tcPr>
            <w:tcW w:type="dxa" w:w="2880"/>
          </w:tcPr>
          <w:p>
            <w:r>
              <w:rPr>
                <w:sz w:val="18"/>
              </w:rPr>
              <w:t>Wyższy (dodatkowy falownik)</w:t>
            </w:r>
          </w:p>
        </w:tc>
        <w:tc>
          <w:tcPr>
            <w:tcW w:type="dxa" w:w="2880"/>
          </w:tcPr>
          <w:p>
            <w:r>
              <w:rPr>
                <w:sz w:val="18"/>
              </w:rPr>
              <w:t>Niższy o 10-20%</w:t>
            </w:r>
          </w:p>
        </w:tc>
      </w:tr>
      <w:tr>
        <w:tc>
          <w:tcPr>
            <w:tcW w:type="dxa" w:w="2880"/>
          </w:tcPr>
          <w:p>
            <w:r>
              <w:rPr>
                <w:sz w:val="18"/>
              </w:rPr>
              <w:t>Serwis</w:t>
            </w:r>
          </w:p>
        </w:tc>
        <w:tc>
          <w:tcPr>
            <w:tcW w:type="dxa" w:w="2880"/>
          </w:tcPr>
          <w:p>
            <w:r>
              <w:rPr>
                <w:sz w:val="18"/>
              </w:rPr>
              <w:t>Łatwiejszy</w:t>
            </w:r>
          </w:p>
        </w:tc>
        <w:tc>
          <w:tcPr>
            <w:tcW w:type="dxa" w:w="2880"/>
          </w:tcPr>
          <w:p>
            <w:r>
              <w:rPr>
                <w:sz w:val="18"/>
              </w:rPr>
              <w:t>Zintegrowany</w:t>
            </w:r>
          </w:p>
        </w:tc>
      </w:tr>
    </w:tbl>
    <w:p/>
    <w:p>
      <w:r>
        <w:rPr>
          <w:b/>
        </w:rPr>
        <w:t xml:space="preserve">Dla istniejącego PV: AC-coupled </w:t>
      </w:r>
      <w:r>
        <w:t>– nie wymaga modyfikacji działającego systemu PV, łatwa instalacja i serwis.</w:t>
      </w:r>
    </w:p>
    <w:p>
      <w:pPr>
        <w:pStyle w:val="Heading2"/>
      </w:pPr>
      <w:r>
        <w:t>4.5. Dobór pojemności magazynu</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Scenariusz</w:t>
            </w:r>
          </w:p>
        </w:tc>
        <w:tc>
          <w:tcPr>
            <w:tcW w:type="dxa" w:w="4320"/>
          </w:tcPr>
          <w:p>
            <w:r>
              <w:rPr>
                <w:b/>
                <w:sz w:val="18"/>
              </w:rPr>
              <w:t>Zalecany stosunek BESS/PV</w:t>
            </w:r>
          </w:p>
        </w:tc>
      </w:tr>
      <w:tr>
        <w:tc>
          <w:tcPr>
            <w:tcW w:type="dxa" w:w="4320"/>
          </w:tcPr>
          <w:p>
            <w:r>
              <w:rPr>
                <w:sz w:val="18"/>
              </w:rPr>
              <w:t>Autokonsumpcja PV (podstawowa)</w:t>
            </w:r>
          </w:p>
        </w:tc>
        <w:tc>
          <w:tcPr>
            <w:tcW w:type="dxa" w:w="4320"/>
          </w:tcPr>
          <w:p>
            <w:r>
              <w:rPr>
                <w:sz w:val="18"/>
              </w:rPr>
              <w:t>0,5-1,0 kWh BESS na 1 kWp PV</w:t>
            </w:r>
          </w:p>
        </w:tc>
      </w:tr>
      <w:tr>
        <w:tc>
          <w:tcPr>
            <w:tcW w:type="dxa" w:w="4320"/>
          </w:tcPr>
          <w:p>
            <w:r>
              <w:rPr>
                <w:sz w:val="18"/>
              </w:rPr>
              <w:t>Peak shaving + autokonsumpcja</w:t>
            </w:r>
          </w:p>
        </w:tc>
        <w:tc>
          <w:tcPr>
            <w:tcW w:type="dxa" w:w="4320"/>
          </w:tcPr>
          <w:p>
            <w:r>
              <w:rPr>
                <w:sz w:val="18"/>
              </w:rPr>
              <w:t>1,0-2,0 kWh BESS na 1 kWp PV</w:t>
            </w:r>
          </w:p>
        </w:tc>
      </w:tr>
      <w:tr>
        <w:tc>
          <w:tcPr>
            <w:tcW w:type="dxa" w:w="4320"/>
          </w:tcPr>
          <w:p>
            <w:r>
              <w:rPr>
                <w:sz w:val="18"/>
              </w:rPr>
              <w:t>Pełna optymalizacja + arbitraż</w:t>
            </w:r>
          </w:p>
        </w:tc>
        <w:tc>
          <w:tcPr>
            <w:tcW w:type="dxa" w:w="4320"/>
          </w:tcPr>
          <w:p>
            <w:r>
              <w:rPr>
                <w:sz w:val="18"/>
              </w:rPr>
              <w:t>2,0-4,0 kWh BESS na 1 kWp PV</w:t>
            </w:r>
          </w:p>
        </w:tc>
      </w:tr>
    </w:tbl>
    <w:p/>
    <w:p>
      <w:r>
        <w:t>Przykład: zakład z PV 200 kWp, profil 2-zmianowy, nadwyżka PV ~100 kWh/dzień w lecie, szczyt wieczorny 150 kW × 3h = 450 kWh → rekomendowany magazyn: 250-500 kWh (z korektą na degradację: × 1,25).</w:t>
      </w:r>
    </w:p>
    <w:p>
      <w:r>
        <w:br w:type="page"/>
      </w:r>
    </w:p>
    <w:p>
      <w:pPr>
        <w:pStyle w:val="Heading1"/>
      </w:pPr>
      <w:r>
        <w:t>5. Analiza rynkowa</w:t>
      </w:r>
    </w:p>
    <w:p>
      <w:pPr>
        <w:pStyle w:val="Heading2"/>
      </w:pPr>
      <w:r>
        <w:t>5.1. Ceny energii na TGE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Parametr</w:t>
            </w:r>
          </w:p>
        </w:tc>
        <w:tc>
          <w:tcPr>
            <w:tcW w:type="dxa" w:w="4320"/>
          </w:tcPr>
          <w:p>
            <w:r>
              <w:rPr>
                <w:b/>
                <w:sz w:val="18"/>
              </w:rPr>
              <w:t>Wartość</w:t>
            </w:r>
          </w:p>
        </w:tc>
      </w:tr>
      <w:tr>
        <w:tc>
          <w:tcPr>
            <w:tcW w:type="dxa" w:w="4320"/>
          </w:tcPr>
          <w:p>
            <w:r>
              <w:rPr>
                <w:sz w:val="18"/>
              </w:rPr>
              <w:t>Średnia RDN 2024</w:t>
            </w:r>
          </w:p>
        </w:tc>
        <w:tc>
          <w:tcPr>
            <w:tcW w:type="dxa" w:w="4320"/>
          </w:tcPr>
          <w:p>
            <w:r>
              <w:rPr>
                <w:sz w:val="18"/>
              </w:rPr>
              <w:t>424,94 PLN/MWh</w:t>
            </w:r>
          </w:p>
        </w:tc>
      </w:tr>
      <w:tr>
        <w:tc>
          <w:tcPr>
            <w:tcW w:type="dxa" w:w="4320"/>
          </w:tcPr>
          <w:p>
            <w:r>
              <w:rPr>
                <w:sz w:val="18"/>
              </w:rPr>
              <w:t>Średnia RDN 2023</w:t>
            </w:r>
          </w:p>
        </w:tc>
        <w:tc>
          <w:tcPr>
            <w:tcW w:type="dxa" w:w="4320"/>
          </w:tcPr>
          <w:p>
            <w:r>
              <w:rPr>
                <w:sz w:val="18"/>
              </w:rPr>
              <w:t>533,62 PLN/MWh</w:t>
            </w:r>
          </w:p>
        </w:tc>
      </w:tr>
      <w:tr>
        <w:tc>
          <w:tcPr>
            <w:tcW w:type="dxa" w:w="4320"/>
          </w:tcPr>
          <w:p>
            <w:r>
              <w:rPr>
                <w:sz w:val="18"/>
              </w:rPr>
              <w:t>Średnia RDN listopad 2025</w:t>
            </w:r>
          </w:p>
        </w:tc>
        <w:tc>
          <w:tcPr>
            <w:tcW w:type="dxa" w:w="4320"/>
          </w:tcPr>
          <w:p>
            <w:r>
              <w:rPr>
                <w:sz w:val="18"/>
              </w:rPr>
              <w:t>568,46 PLN/MWh</w:t>
            </w:r>
          </w:p>
        </w:tc>
      </w:tr>
      <w:tr>
        <w:tc>
          <w:tcPr>
            <w:tcW w:type="dxa" w:w="4320"/>
          </w:tcPr>
          <w:p>
            <w:r>
              <w:rPr>
                <w:sz w:val="18"/>
              </w:rPr>
              <w:t>Indeks TGePVm (profil PV, maj 2024)</w:t>
            </w:r>
          </w:p>
        </w:tc>
        <w:tc>
          <w:tcPr>
            <w:tcW w:type="dxa" w:w="4320"/>
          </w:tcPr>
          <w:p>
            <w:r>
              <w:rPr>
                <w:sz w:val="18"/>
              </w:rPr>
              <w:t>265,6 PLN/MWh</w:t>
            </w:r>
          </w:p>
        </w:tc>
      </w:tr>
      <w:tr>
        <w:tc>
          <w:tcPr>
            <w:tcW w:type="dxa" w:w="4320"/>
          </w:tcPr>
          <w:p>
            <w:r>
              <w:rPr>
                <w:sz w:val="18"/>
              </w:rPr>
              <w:t>Taryfa URE na 2026</w:t>
            </w:r>
          </w:p>
        </w:tc>
        <w:tc>
          <w:tcPr>
            <w:tcW w:type="dxa" w:w="4320"/>
          </w:tcPr>
          <w:p>
            <w:r>
              <w:rPr>
                <w:sz w:val="18"/>
              </w:rPr>
              <w:t>495,16 PLN/MWh</w:t>
            </w:r>
          </w:p>
        </w:tc>
      </w:tr>
      <w:tr>
        <w:tc>
          <w:tcPr>
            <w:tcW w:type="dxa" w:w="4320"/>
          </w:tcPr>
          <w:p>
            <w:r>
              <w:rPr>
                <w:sz w:val="18"/>
              </w:rPr>
              <w:t>Kontrakty terminowe Q1 2026</w:t>
            </w:r>
          </w:p>
        </w:tc>
        <w:tc>
          <w:tcPr>
            <w:tcW w:type="dxa" w:w="4320"/>
          </w:tcPr>
          <w:p>
            <w:r>
              <w:rPr>
                <w:sz w:val="18"/>
              </w:rPr>
              <w:t>~405 PLN/MWh</w:t>
            </w:r>
          </w:p>
        </w:tc>
      </w:tr>
    </w:tbl>
    <w:p/>
    <w:p>
      <w:r>
        <w:t>Profil dobowy: najniższe ceny 10:00-15:00 (efekt „duck curve" – generacja PV), najwyższe 17:00-21:00 (wieczorny szczyt). W weekendy profil jest bardziej płaski z jeszcze niższymi cenami w południe.</w:t>
      </w:r>
    </w:p>
    <w:p>
      <w:pPr>
        <w:pStyle w:val="Heading2"/>
      </w:pPr>
      <w:r>
        <w:t>5.2. Ujemne ceny energii w Polsce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Rok</w:t>
            </w:r>
          </w:p>
        </w:tc>
        <w:tc>
          <w:tcPr>
            <w:tcW w:type="dxa" w:w="2880"/>
          </w:tcPr>
          <w:p>
            <w:r>
              <w:rPr>
                <w:b/>
                <w:sz w:val="18"/>
              </w:rPr>
              <w:t>Godziny z ujemnymi cenami</w:t>
            </w:r>
          </w:p>
        </w:tc>
        <w:tc>
          <w:tcPr>
            <w:tcW w:type="dxa" w:w="2880"/>
          </w:tcPr>
          <w:p>
            <w:r>
              <w:rPr>
                <w:b/>
                <w:sz w:val="18"/>
              </w:rPr>
              <w:t>Trend</w:t>
            </w:r>
          </w:p>
        </w:tc>
      </w:tr>
      <w:tr>
        <w:tc>
          <w:tcPr>
            <w:tcW w:type="dxa" w:w="2880"/>
          </w:tcPr>
          <w:p>
            <w:r>
              <w:rPr>
                <w:sz w:val="18"/>
              </w:rPr>
              <w:t>2023</w:t>
            </w:r>
          </w:p>
        </w:tc>
        <w:tc>
          <w:tcPr>
            <w:tcW w:type="dxa" w:w="2880"/>
          </w:tcPr>
          <w:p>
            <w:r>
              <w:rPr>
                <w:sz w:val="18"/>
              </w:rPr>
              <w:t>~30 godzin</w:t>
            </w:r>
          </w:p>
        </w:tc>
        <w:tc>
          <w:tcPr>
            <w:tcW w:type="dxa" w:w="2880"/>
          </w:tcPr>
          <w:p>
            <w:r>
              <w:rPr>
                <w:sz w:val="18"/>
              </w:rPr>
              <w:t>Początek zjawiska</w:t>
            </w:r>
          </w:p>
        </w:tc>
      </w:tr>
      <w:tr>
        <w:tc>
          <w:tcPr>
            <w:tcW w:type="dxa" w:w="2880"/>
          </w:tcPr>
          <w:p>
            <w:r>
              <w:rPr>
                <w:sz w:val="18"/>
              </w:rPr>
              <w:t>2024</w:t>
            </w:r>
          </w:p>
        </w:tc>
        <w:tc>
          <w:tcPr>
            <w:tcW w:type="dxa" w:w="2880"/>
          </w:tcPr>
          <w:p>
            <w:r>
              <w:rPr>
                <w:sz w:val="18"/>
              </w:rPr>
              <w:t>~186 godzin</w:t>
            </w:r>
          </w:p>
        </w:tc>
        <w:tc>
          <w:tcPr>
            <w:tcW w:type="dxa" w:w="2880"/>
          </w:tcPr>
          <w:p>
            <w:r>
              <w:rPr>
                <w:sz w:val="18"/>
              </w:rPr>
              <w:t>6-krotny wzrost</w:t>
            </w:r>
          </w:p>
        </w:tc>
      </w:tr>
      <w:tr>
        <w:tc>
          <w:tcPr>
            <w:tcW w:type="dxa" w:w="2880"/>
          </w:tcPr>
          <w:p>
            <w:r>
              <w:rPr>
                <w:sz w:val="18"/>
              </w:rPr>
              <w:t>I poł. 2025</w:t>
            </w:r>
          </w:p>
        </w:tc>
        <w:tc>
          <w:tcPr>
            <w:tcW w:type="dxa" w:w="2880"/>
          </w:tcPr>
          <w:p>
            <w:r>
              <w:rPr>
                <w:sz w:val="18"/>
              </w:rPr>
              <w:t>251 godzin (więcej niż cały 2024)</w:t>
            </w:r>
          </w:p>
        </w:tc>
        <w:tc>
          <w:tcPr>
            <w:tcW w:type="dxa" w:w="2880"/>
          </w:tcPr>
          <w:p>
            <w:r>
              <w:rPr>
                <w:sz w:val="18"/>
              </w:rPr>
              <w:t>Eksplozja</w:t>
            </w:r>
          </w:p>
        </w:tc>
      </w:tr>
      <w:tr>
        <w:tc>
          <w:tcPr>
            <w:tcW w:type="dxa" w:w="2880"/>
          </w:tcPr>
          <w:p>
            <w:r>
              <w:rPr>
                <w:sz w:val="18"/>
              </w:rPr>
              <w:t>2025 (szacunki)</w:t>
            </w:r>
          </w:p>
        </w:tc>
        <w:tc>
          <w:tcPr>
            <w:tcW w:type="dxa" w:w="2880"/>
          </w:tcPr>
          <w:p>
            <w:r>
              <w:rPr>
                <w:sz w:val="18"/>
              </w:rPr>
              <w:t>&gt;315 godzin</w:t>
            </w:r>
          </w:p>
        </w:tc>
        <w:tc>
          <w:tcPr>
            <w:tcW w:type="dxa" w:w="2880"/>
          </w:tcPr>
          <w:p>
            <w:r>
              <w:rPr>
                <w:sz w:val="18"/>
              </w:rPr>
              <w:t>Dalszy wzrost</w:t>
            </w:r>
          </w:p>
        </w:tc>
      </w:tr>
    </w:tbl>
    <w:p/>
    <w:p>
      <w:r>
        <w:t>Rekord: -37 000 PLN/MWh (30 lipca 2025, godz. 10:00-10:15). Typowe ujemne ceny na RDN: -50 do -200 PLN/MWh. Zjawisko występuje głównie w godzinach 10:00-15:00, w weekendy i święta, wiosną i latem. Trend jednoznacznie rosnący – przy 25,5 GW PV i 11,2 GW wiatru w Polsce.</w:t>
      </w:r>
    </w:p>
    <w:p>
      <w:r>
        <w:rPr>
          <w:b/>
        </w:rPr>
        <w:t xml:space="preserve">Znaczenie dla BESS: </w:t>
      </w:r>
      <w:r>
        <w:t>Magazyn energii może ładować się za darmo lub nawet ZARABIAĆ na ładowaniu w godzinach ujemnych cen, a następnie rozładowywać w szczycie po 500-800 PLN/MWh.</w:t>
      </w:r>
    </w:p>
    <w:p>
      <w:pPr>
        <w:pStyle w:val="Heading2"/>
      </w:pPr>
      <w:r>
        <w:t>5.3. Arbitraż cenowy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Scenariusz</w:t>
            </w:r>
          </w:p>
        </w:tc>
        <w:tc>
          <w:tcPr>
            <w:tcW w:type="dxa" w:w="2160"/>
          </w:tcPr>
          <w:p>
            <w:r>
              <w:rPr>
                <w:b/>
                <w:sz w:val="18"/>
              </w:rPr>
              <w:t>Spread dzienny</w:t>
            </w:r>
          </w:p>
        </w:tc>
        <w:tc>
          <w:tcPr>
            <w:tcW w:type="dxa" w:w="2160"/>
          </w:tcPr>
          <w:p>
            <w:r>
              <w:rPr>
                <w:b/>
                <w:sz w:val="18"/>
              </w:rPr>
              <w:t>Przychód netto/dzień (2 MWh, RTE 85%)</w:t>
            </w:r>
          </w:p>
        </w:tc>
        <w:tc>
          <w:tcPr>
            <w:tcW w:type="dxa" w:w="2160"/>
          </w:tcPr>
          <w:p>
            <w:r>
              <w:rPr>
                <w:b/>
                <w:sz w:val="18"/>
              </w:rPr>
              <w:t>Przychód roczny</w:t>
            </w:r>
          </w:p>
        </w:tc>
      </w:tr>
      <w:tr>
        <w:tc>
          <w:tcPr>
            <w:tcW w:type="dxa" w:w="2160"/>
          </w:tcPr>
          <w:p>
            <w:r>
              <w:rPr>
                <w:sz w:val="18"/>
              </w:rPr>
              <w:t>Konserwatywny</w:t>
            </w:r>
          </w:p>
        </w:tc>
        <w:tc>
          <w:tcPr>
            <w:tcW w:type="dxa" w:w="2160"/>
          </w:tcPr>
          <w:p>
            <w:r>
              <w:rPr>
                <w:sz w:val="18"/>
              </w:rPr>
              <w:t>200 PLN/MWh</w:t>
            </w:r>
          </w:p>
        </w:tc>
        <w:tc>
          <w:tcPr>
            <w:tcW w:type="dxa" w:w="2160"/>
          </w:tcPr>
          <w:p>
            <w:r>
              <w:rPr>
                <w:sz w:val="18"/>
              </w:rPr>
              <w:t>340 PLN</w:t>
            </w:r>
          </w:p>
        </w:tc>
        <w:tc>
          <w:tcPr>
            <w:tcW w:type="dxa" w:w="2160"/>
          </w:tcPr>
          <w:p>
            <w:r>
              <w:rPr>
                <w:sz w:val="18"/>
              </w:rPr>
              <w:t>~124 000 PLN</w:t>
            </w:r>
          </w:p>
        </w:tc>
      </w:tr>
      <w:tr>
        <w:tc>
          <w:tcPr>
            <w:tcW w:type="dxa" w:w="2160"/>
          </w:tcPr>
          <w:p>
            <w:r>
              <w:rPr>
                <w:sz w:val="18"/>
              </w:rPr>
              <w:t>Umiarkowany</w:t>
            </w:r>
          </w:p>
        </w:tc>
        <w:tc>
          <w:tcPr>
            <w:tcW w:type="dxa" w:w="2160"/>
          </w:tcPr>
          <w:p>
            <w:r>
              <w:rPr>
                <w:sz w:val="18"/>
              </w:rPr>
              <w:t>350 PLN/MWh</w:t>
            </w:r>
          </w:p>
        </w:tc>
        <w:tc>
          <w:tcPr>
            <w:tcW w:type="dxa" w:w="2160"/>
          </w:tcPr>
          <w:p>
            <w:r>
              <w:rPr>
                <w:sz w:val="18"/>
              </w:rPr>
              <w:t>595 PLN</w:t>
            </w:r>
          </w:p>
        </w:tc>
        <w:tc>
          <w:tcPr>
            <w:tcW w:type="dxa" w:w="2160"/>
          </w:tcPr>
          <w:p>
            <w:r>
              <w:rPr>
                <w:sz w:val="18"/>
              </w:rPr>
              <w:t>~217 000 PLN</w:t>
            </w:r>
          </w:p>
        </w:tc>
      </w:tr>
      <w:tr>
        <w:tc>
          <w:tcPr>
            <w:tcW w:type="dxa" w:w="2160"/>
          </w:tcPr>
          <w:p>
            <w:r>
              <w:rPr>
                <w:sz w:val="18"/>
              </w:rPr>
              <w:t>Optymistyczny (z ujemnymi cenami)</w:t>
            </w:r>
          </w:p>
        </w:tc>
        <w:tc>
          <w:tcPr>
            <w:tcW w:type="dxa" w:w="2160"/>
          </w:tcPr>
          <w:p>
            <w:r>
              <w:rPr>
                <w:sz w:val="18"/>
              </w:rPr>
              <w:t>600 PLN/MWh</w:t>
            </w:r>
          </w:p>
        </w:tc>
        <w:tc>
          <w:tcPr>
            <w:tcW w:type="dxa" w:w="2160"/>
          </w:tcPr>
          <w:p>
            <w:r>
              <w:rPr>
                <w:sz w:val="18"/>
              </w:rPr>
              <w:t>1 020 PLN</w:t>
            </w:r>
          </w:p>
        </w:tc>
        <w:tc>
          <w:tcPr>
            <w:tcW w:type="dxa" w:w="2160"/>
          </w:tcPr>
          <w:p>
            <w:r>
              <w:rPr>
                <w:sz w:val="18"/>
              </w:rPr>
              <w:t>~372 000 PLN</w:t>
            </w:r>
          </w:p>
        </w:tc>
      </w:tr>
    </w:tbl>
    <w:p>
      <w:pPr>
        <w:pStyle w:val="Heading2"/>
      </w:pPr>
      <w:r>
        <w:t>5.4. Peak shaving i opłata mocowa</w:t>
      </w:r>
    </w:p>
    <w:p>
      <w:r>
        <w:t>Stawki opłaty mocowej:</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Rok</w:t>
            </w:r>
          </w:p>
        </w:tc>
        <w:tc>
          <w:tcPr>
            <w:tcW w:type="dxa" w:w="2880"/>
          </w:tcPr>
          <w:p>
            <w:r>
              <w:rPr>
                <w:b/>
                <w:sz w:val="18"/>
              </w:rPr>
              <w:t>Stawka (PLN/MWh)</w:t>
            </w:r>
          </w:p>
        </w:tc>
        <w:tc>
          <w:tcPr>
            <w:tcW w:type="dxa" w:w="2880"/>
          </w:tcPr>
          <w:p>
            <w:r>
              <w:rPr>
                <w:b/>
                <w:sz w:val="18"/>
              </w:rPr>
              <w:t>Zmiana r/r</w:t>
            </w:r>
          </w:p>
        </w:tc>
      </w:tr>
      <w:tr>
        <w:tc>
          <w:tcPr>
            <w:tcW w:type="dxa" w:w="2880"/>
          </w:tcPr>
          <w:p>
            <w:r>
              <w:rPr>
                <w:sz w:val="18"/>
              </w:rPr>
              <w:t>2024</w:t>
            </w:r>
          </w:p>
        </w:tc>
        <w:tc>
          <w:tcPr>
            <w:tcW w:type="dxa" w:w="2880"/>
          </w:tcPr>
          <w:p>
            <w:r>
              <w:rPr>
                <w:sz w:val="18"/>
              </w:rPr>
              <w:t>~120</w:t>
            </w:r>
          </w:p>
        </w:tc>
        <w:tc>
          <w:tcPr>
            <w:tcW w:type="dxa" w:w="2880"/>
          </w:tcPr>
          <w:p>
            <w:r>
              <w:rPr>
                <w:sz w:val="18"/>
              </w:rPr>
              <w:t>–</w:t>
            </w:r>
          </w:p>
        </w:tc>
      </w:tr>
      <w:tr>
        <w:tc>
          <w:tcPr>
            <w:tcW w:type="dxa" w:w="2880"/>
          </w:tcPr>
          <w:p>
            <w:r>
              <w:rPr>
                <w:sz w:val="18"/>
              </w:rPr>
              <w:t>2025</w:t>
            </w:r>
          </w:p>
        </w:tc>
        <w:tc>
          <w:tcPr>
            <w:tcW w:type="dxa" w:w="2880"/>
          </w:tcPr>
          <w:p>
            <w:r>
              <w:rPr>
                <w:sz w:val="18"/>
              </w:rPr>
              <w:t>141,20</w:t>
            </w:r>
          </w:p>
        </w:tc>
        <w:tc>
          <w:tcPr>
            <w:tcW w:type="dxa" w:w="2880"/>
          </w:tcPr>
          <w:p>
            <w:r>
              <w:rPr>
                <w:sz w:val="18"/>
              </w:rPr>
              <w:t>+17%</w:t>
            </w:r>
          </w:p>
        </w:tc>
      </w:tr>
      <w:tr>
        <w:tc>
          <w:tcPr>
            <w:tcW w:type="dxa" w:w="2880"/>
          </w:tcPr>
          <w:p>
            <w:r>
              <w:rPr>
                <w:sz w:val="18"/>
              </w:rPr>
              <w:t>2026</w:t>
            </w:r>
          </w:p>
        </w:tc>
        <w:tc>
          <w:tcPr>
            <w:tcW w:type="dxa" w:w="2880"/>
          </w:tcPr>
          <w:p>
            <w:r>
              <w:rPr>
                <w:sz w:val="18"/>
              </w:rPr>
              <w:t>219,40</w:t>
            </w:r>
          </w:p>
        </w:tc>
        <w:tc>
          <w:tcPr>
            <w:tcW w:type="dxa" w:w="2880"/>
          </w:tcPr>
          <w:p>
            <w:r>
              <w:rPr>
                <w:sz w:val="18"/>
              </w:rPr>
              <w:t>+55%</w:t>
            </w:r>
          </w:p>
        </w:tc>
      </w:tr>
    </w:tbl>
    <w:p/>
    <w:p>
      <w:r>
        <w:t>Opłata mocowa naliczana jest w dni robocze, godz. 7:00-21:59. Odbiorcy przypisywani są do kategorii K1-K4. Wygładzenie profilu (z K4 na K1) może zmniejszyć opłatę mocową nawet o 83%.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Kategoria</w:t>
            </w:r>
          </w:p>
        </w:tc>
        <w:tc>
          <w:tcPr>
            <w:tcW w:type="dxa" w:w="2880"/>
          </w:tcPr>
          <w:p>
            <w:r>
              <w:rPr>
                <w:b/>
                <w:sz w:val="18"/>
              </w:rPr>
              <w:t>Różnica profilu</w:t>
            </w:r>
          </w:p>
        </w:tc>
        <w:tc>
          <w:tcPr>
            <w:tcW w:type="dxa" w:w="2880"/>
          </w:tcPr>
          <w:p>
            <w:r>
              <w:rPr>
                <w:b/>
                <w:sz w:val="18"/>
              </w:rPr>
              <w:t>Płaci % stawki bazowej</w:t>
            </w:r>
          </w:p>
        </w:tc>
      </w:tr>
      <w:tr>
        <w:tc>
          <w:tcPr>
            <w:tcW w:type="dxa" w:w="2880"/>
          </w:tcPr>
          <w:p>
            <w:r>
              <w:rPr>
                <w:sz w:val="18"/>
              </w:rPr>
              <w:t>K1</w:t>
            </w:r>
          </w:p>
        </w:tc>
        <w:tc>
          <w:tcPr>
            <w:tcW w:type="dxa" w:w="2880"/>
          </w:tcPr>
          <w:p>
            <w:r>
              <w:rPr>
                <w:sz w:val="18"/>
              </w:rPr>
              <w:t>&lt; 5%</w:t>
            </w:r>
          </w:p>
        </w:tc>
        <w:tc>
          <w:tcPr>
            <w:tcW w:type="dxa" w:w="2880"/>
          </w:tcPr>
          <w:p>
            <w:r>
              <w:rPr>
                <w:sz w:val="18"/>
              </w:rPr>
              <w:t>17%</w:t>
            </w:r>
          </w:p>
        </w:tc>
      </w:tr>
      <w:tr>
        <w:tc>
          <w:tcPr>
            <w:tcW w:type="dxa" w:w="2880"/>
          </w:tcPr>
          <w:p>
            <w:r>
              <w:rPr>
                <w:sz w:val="18"/>
              </w:rPr>
              <w:t>K2</w:t>
            </w:r>
          </w:p>
        </w:tc>
        <w:tc>
          <w:tcPr>
            <w:tcW w:type="dxa" w:w="2880"/>
          </w:tcPr>
          <w:p>
            <w:r>
              <w:rPr>
                <w:sz w:val="18"/>
              </w:rPr>
              <w:t>5-10%</w:t>
            </w:r>
          </w:p>
        </w:tc>
        <w:tc>
          <w:tcPr>
            <w:tcW w:type="dxa" w:w="2880"/>
          </w:tcPr>
          <w:p>
            <w:r>
              <w:rPr>
                <w:sz w:val="18"/>
              </w:rPr>
              <w:t>40%</w:t>
            </w:r>
          </w:p>
        </w:tc>
      </w:tr>
      <w:tr>
        <w:tc>
          <w:tcPr>
            <w:tcW w:type="dxa" w:w="2880"/>
          </w:tcPr>
          <w:p>
            <w:r>
              <w:rPr>
                <w:sz w:val="18"/>
              </w:rPr>
              <w:t>K3</w:t>
            </w:r>
          </w:p>
        </w:tc>
        <w:tc>
          <w:tcPr>
            <w:tcW w:type="dxa" w:w="2880"/>
          </w:tcPr>
          <w:p>
            <w:r>
              <w:rPr>
                <w:sz w:val="18"/>
              </w:rPr>
              <w:t>10-15%</w:t>
            </w:r>
          </w:p>
        </w:tc>
        <w:tc>
          <w:tcPr>
            <w:tcW w:type="dxa" w:w="2880"/>
          </w:tcPr>
          <w:p>
            <w:r>
              <w:rPr>
                <w:sz w:val="18"/>
              </w:rPr>
              <w:t>70%</w:t>
            </w:r>
          </w:p>
        </w:tc>
      </w:tr>
      <w:tr>
        <w:tc>
          <w:tcPr>
            <w:tcW w:type="dxa" w:w="2880"/>
          </w:tcPr>
          <w:p>
            <w:r>
              <w:rPr>
                <w:sz w:val="18"/>
              </w:rPr>
              <w:t>K4</w:t>
            </w:r>
          </w:p>
        </w:tc>
        <w:tc>
          <w:tcPr>
            <w:tcW w:type="dxa" w:w="2880"/>
          </w:tcPr>
          <w:p>
            <w:r>
              <w:rPr>
                <w:sz w:val="18"/>
              </w:rPr>
              <w:t>≥ 15%</w:t>
            </w:r>
          </w:p>
        </w:tc>
        <w:tc>
          <w:tcPr>
            <w:tcW w:type="dxa" w:w="2880"/>
          </w:tcPr>
          <w:p>
            <w:r>
              <w:rPr>
                <w:sz w:val="18"/>
              </w:rPr>
              <w:t>100%</w:t>
            </w:r>
          </w:p>
        </w:tc>
      </w:tr>
    </w:tbl>
    <w:p/>
    <w:p>
      <w:r>
        <w:rPr>
          <w:b/>
        </w:rPr>
        <w:t xml:space="preserve">Przykład: </w:t>
      </w:r>
      <w:r>
        <w:t>Firma zużywająca 1 GWh/rok z nierównomiernym profilem (K4) płaci ~160 000 PLN opłaty mocowej. Po instalacji magazynu i wygładzeniu profilu (K1): ~27 000 PLN. Oszczędność: do 133 000 PLN/rok.</w:t>
      </w:r>
    </w:p>
    <w:p>
      <w:pPr>
        <w:pStyle w:val="Heading2"/>
      </w:pPr>
      <w:r>
        <w:t>5.5. Prognozy cen energii 2025-2027</w:t>
      </w:r>
    </w:p>
    <w:p>
      <w:r>
        <w:t>Zjawisko „duck curve" będzie się pogłębiać – ceny w południe spadają (rosnący PV), ceny wieczorne rosną (brak generacji PV + wzrost zapotrzebowania). Spread intraday będzie się zwiększać, co jest korzystne dla magazynów energii.</w:t>
      </w:r>
    </w:p>
    <w:p>
      <w:pPr>
        <w:pStyle w:val="ListBullet"/>
      </w:pPr>
      <w:r>
        <w:t>Wzrost: ceny uprawnień CO₂, wyłączanie bloków węglowych, rosnące koszty bilansowania OZE</w:t>
      </w:r>
    </w:p>
    <w:p>
      <w:pPr>
        <w:pStyle w:val="ListBullet"/>
      </w:pPr>
      <w:r>
        <w:t>Spadek średniej: dalszy przyrost OZE, budowa 3,2 GW nowych mocy gazowych</w:t>
      </w:r>
    </w:p>
    <w:p>
      <w:pPr>
        <w:pStyle w:val="ListBullet"/>
      </w:pPr>
      <w:r>
        <w:t>PSE ostrzega: możliwe niedobory mocy do 50 godzin rocznie do 2027 r.</w:t>
      </w:r>
    </w:p>
    <w:p>
      <w:pPr>
        <w:pStyle w:val="ListBullet"/>
      </w:pPr>
      <w:r>
        <w:t>Prognoza 2030: 772 PLN/MWh (przemysł) / 1 124 PLN/MWh (gospodarstwa domowe)</w:t>
      </w:r>
    </w:p>
    <w:p>
      <w:r>
        <w:br w:type="page"/>
      </w:r>
    </w:p>
    <w:p>
      <w:pPr>
        <w:pStyle w:val="Heading1"/>
      </w:pPr>
      <w:r>
        <w:t>6. Business case – strumienie przychodów</w:t>
      </w:r>
    </w:p>
    <w:p>
      <w:r>
        <w:t>Zestawienie potencjalnych strumieni przychodów/oszczędności dla magazynu 1 MW / 2 MWh: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Strumień</w:t>
            </w:r>
          </w:p>
        </w:tc>
        <w:tc>
          <w:tcPr>
            <w:tcW w:type="dxa" w:w="2880"/>
          </w:tcPr>
          <w:p>
            <w:r>
              <w:rPr>
                <w:b/>
                <w:sz w:val="18"/>
              </w:rPr>
              <w:t>Roczny przychód (szacunek)</w:t>
            </w:r>
          </w:p>
        </w:tc>
        <w:tc>
          <w:tcPr>
            <w:tcW w:type="dxa" w:w="2880"/>
          </w:tcPr>
          <w:p>
            <w:r>
              <w:rPr>
                <w:b/>
                <w:sz w:val="18"/>
              </w:rPr>
              <w:t>Uwagi</w:t>
            </w:r>
          </w:p>
        </w:tc>
      </w:tr>
      <w:tr>
        <w:tc>
          <w:tcPr>
            <w:tcW w:type="dxa" w:w="2880"/>
          </w:tcPr>
          <w:p>
            <w:r>
              <w:rPr>
                <w:sz w:val="18"/>
              </w:rPr>
              <w:t>Arbitraż cenowy (RDN/RDB)</w:t>
            </w:r>
          </w:p>
        </w:tc>
        <w:tc>
          <w:tcPr>
            <w:tcW w:type="dxa" w:w="2880"/>
          </w:tcPr>
          <w:p>
            <w:r>
              <w:rPr>
                <w:sz w:val="18"/>
              </w:rPr>
              <w:t>120 000 – 370 000 PLN</w:t>
            </w:r>
          </w:p>
        </w:tc>
        <w:tc>
          <w:tcPr>
            <w:tcW w:type="dxa" w:w="2880"/>
          </w:tcPr>
          <w:p>
            <w:r>
              <w:rPr>
                <w:sz w:val="18"/>
              </w:rPr>
              <w:t>Zależy od strategii tradingowej i spreadu</w:t>
            </w:r>
          </w:p>
        </w:tc>
      </w:tr>
      <w:tr>
        <w:tc>
          <w:tcPr>
            <w:tcW w:type="dxa" w:w="2880"/>
          </w:tcPr>
          <w:p>
            <w:r>
              <w:rPr>
                <w:sz w:val="18"/>
              </w:rPr>
              <w:t>Peak shaving (opłata mocowa)</w:t>
            </w:r>
          </w:p>
        </w:tc>
        <w:tc>
          <w:tcPr>
            <w:tcW w:type="dxa" w:w="2880"/>
          </w:tcPr>
          <w:p>
            <w:r>
              <w:rPr>
                <w:sz w:val="18"/>
              </w:rPr>
              <w:t>50 000 – 133 000 PLN</w:t>
            </w:r>
          </w:p>
        </w:tc>
        <w:tc>
          <w:tcPr>
            <w:tcW w:type="dxa" w:w="2880"/>
          </w:tcPr>
          <w:p>
            <w:r>
              <w:rPr>
                <w:sz w:val="18"/>
              </w:rPr>
              <w:t>Rośnie +55% w 2026 r.</w:t>
            </w:r>
          </w:p>
        </w:tc>
      </w:tr>
      <w:tr>
        <w:tc>
          <w:tcPr>
            <w:tcW w:type="dxa" w:w="2880"/>
          </w:tcPr>
          <w:p>
            <w:r>
              <w:rPr>
                <w:sz w:val="18"/>
              </w:rPr>
              <w:t>Autokonsumpcja PV (nadwyżki)</w:t>
            </w:r>
          </w:p>
        </w:tc>
        <w:tc>
          <w:tcPr>
            <w:tcW w:type="dxa" w:w="2880"/>
          </w:tcPr>
          <w:p>
            <w:r>
              <w:rPr>
                <w:sz w:val="18"/>
              </w:rPr>
              <w:t>30 000 – 100 000 PLN</w:t>
            </w:r>
          </w:p>
        </w:tc>
        <w:tc>
          <w:tcPr>
            <w:tcW w:type="dxa" w:w="2880"/>
          </w:tcPr>
          <w:p>
            <w:r>
              <w:rPr>
                <w:sz w:val="18"/>
              </w:rPr>
              <w:t>Zależy od wielkości PV i nadwyżek</w:t>
            </w:r>
          </w:p>
        </w:tc>
      </w:tr>
      <w:tr>
        <w:tc>
          <w:tcPr>
            <w:tcW w:type="dxa" w:w="2880"/>
          </w:tcPr>
          <w:p>
            <w:r>
              <w:rPr>
                <w:sz w:val="18"/>
              </w:rPr>
              <w:t>Usługi pomocnicze (aFRR, mFRR)</w:t>
            </w:r>
          </w:p>
        </w:tc>
        <w:tc>
          <w:tcPr>
            <w:tcW w:type="dxa" w:w="2880"/>
          </w:tcPr>
          <w:p>
            <w:r>
              <w:rPr>
                <w:sz w:val="18"/>
              </w:rPr>
              <w:t>Do 4 000 000 PLN</w:t>
            </w:r>
          </w:p>
        </w:tc>
        <w:tc>
          <w:tcPr>
            <w:tcW w:type="dxa" w:w="2880"/>
          </w:tcPr>
          <w:p>
            <w:r>
              <w:rPr>
                <w:sz w:val="18"/>
              </w:rPr>
              <w:t>Ryzyko nasycenia rynku</w:t>
            </w:r>
          </w:p>
        </w:tc>
      </w:tr>
      <w:tr>
        <w:tc>
          <w:tcPr>
            <w:tcW w:type="dxa" w:w="2880"/>
          </w:tcPr>
          <w:p>
            <w:r>
              <w:rPr>
                <w:sz w:val="18"/>
              </w:rPr>
              <w:t>Rynek mocy</w:t>
            </w:r>
          </w:p>
        </w:tc>
        <w:tc>
          <w:tcPr>
            <w:tcW w:type="dxa" w:w="2880"/>
          </w:tcPr>
          <w:p>
            <w:r>
              <w:rPr>
                <w:sz w:val="18"/>
              </w:rPr>
              <w:t>~62 000 PLN</w:t>
            </w:r>
          </w:p>
        </w:tc>
        <w:tc>
          <w:tcPr>
            <w:tcW w:type="dxa" w:w="2880"/>
          </w:tcPr>
          <w:p>
            <w:r>
              <w:rPr>
                <w:sz w:val="18"/>
              </w:rPr>
              <w:t>Po współczynniku KWD 13,39%</w:t>
            </w:r>
          </w:p>
        </w:tc>
      </w:tr>
      <w:tr>
        <w:tc>
          <w:tcPr>
            <w:tcW w:type="dxa" w:w="2880"/>
          </w:tcPr>
          <w:p>
            <w:r>
              <w:rPr>
                <w:sz w:val="18"/>
              </w:rPr>
              <w:t>ŁĄCZNIE (bez usł. pomoc.)</w:t>
            </w:r>
          </w:p>
        </w:tc>
        <w:tc>
          <w:tcPr>
            <w:tcW w:type="dxa" w:w="2880"/>
          </w:tcPr>
          <w:p>
            <w:r>
              <w:rPr>
                <w:sz w:val="18"/>
              </w:rPr>
              <w:t>200 000 – 603 000 PLN/rok</w:t>
            </w:r>
          </w:p>
        </w:tc>
        <w:tc>
          <w:tcPr>
            <w:tcW w:type="dxa" w:w="2880"/>
          </w:tcPr>
          <w:p>
            <w:r>
              <w:rPr>
                <w:sz w:val="18"/>
              </w:rPr>
              <w:t>Bezpieczny scenariusz</w:t>
            </w:r>
          </w:p>
        </w:tc>
      </w:tr>
    </w:tbl>
    <w:p/>
    <w:p>
      <w:r>
        <w:t>Przy CAPEX 3-4 mln PLN za 1 MW/2 MWh, okres zwrotu z arbitrażu + peak shaving + autokonsumpcji: 5-8 lat (bez dotacji). Z dofinansowaniem (np. 45%): 3-5 lat.</w:t>
      </w:r>
    </w:p>
    <w:p>
      <w:r>
        <w:br w:type="page"/>
      </w:r>
    </w:p>
    <w:p>
      <w:pPr>
        <w:pStyle w:val="Heading1"/>
      </w:pPr>
      <w:r>
        <w:t>7. Rekomendacje</w:t>
      </w:r>
    </w:p>
    <w:p>
      <w:pPr>
        <w:pStyle w:val="Heading3"/>
      </w:pPr>
      <w:r>
        <w:t>Taryfa</w:t>
      </w:r>
    </w:p>
    <w:p>
      <w:r>
        <w:t>Przejście na taryfę dynamiczną (ceny 15-minutowe TGE) u jednego z 6 zobowiązanych sprzedawców. Rekomendacja: Pstryk/Fortum (0 zł abonamentu) lub Tauron (niski abonament).</w:t>
      </w:r>
    </w:p>
    <w:p>
      <w:pPr>
        <w:pStyle w:val="Heading3"/>
      </w:pPr>
      <w:r>
        <w:t>Magazyn energii (BESS)</w:t>
      </w:r>
    </w:p>
    <w:p>
      <w:r>
        <w:t>Technologia LFP, AC-coupled z istniejącym PV. Rekomendowane systemy: CATL EnerOne (10 000 cykli), Sungrow PowerStack 255CS, Huawei LUNA2000. Pojemność: 1-2 kWh na 1 kWp zainstalowanego PV (min. z korektą na degradację × 1,25).</w:t>
      </w:r>
    </w:p>
    <w:p>
      <w:pPr>
        <w:pStyle w:val="Heading3"/>
      </w:pPr>
      <w:r>
        <w:t>Software EMS</w:t>
      </w:r>
    </w:p>
    <w:p>
      <w:r>
        <w:t>ENNO-EMS (Ennovation Technology) – natywna integracja z TGE, polski producent. Strategia: ładowanie w godzinach ujemnych/niskich cen, rozładowanie w szczycie, peak shaving.</w:t>
      </w:r>
    </w:p>
    <w:p>
      <w:pPr>
        <w:pStyle w:val="Heading3"/>
      </w:pPr>
      <w:r>
        <w:t>Dotacje</w:t>
      </w:r>
    </w:p>
    <w:p>
      <w:r>
        <w:t>Monitorowanie naborów: Energia Plus (możliwe wznowienie), regionalne RPO, FEnIKS. Ulga termomodernizacyjna dla JDG.</w:t>
      </w:r>
    </w:p>
    <w:p>
      <w:pPr>
        <w:pStyle w:val="Heading3"/>
      </w:pPr>
      <w:r>
        <w:t>Następne kroki</w:t>
      </w:r>
    </w:p>
    <w:p>
      <w:r>
        <w:t>1) Analiza faktury i profilu zużycia zakładu. 2) Audyt techniczny istniejącej instalacji PV. 3) Symulacja sizing magazynu (HOMER Pro / PVsyst). 4) Zapytanie ofertowe do integratorów (BESST POWER, Solarpro, 7SUN). 5) Złożenie wniosku o warunki przyłączenia do OSD.</w:t>
      </w:r>
    </w:p>
    <w:p>
      <w:r>
        <w:br w:type="page"/>
      </w:r>
    </w:p>
    <w:p>
      <w:pPr>
        <w:pStyle w:val="Heading1"/>
      </w:pPr>
      <w:r>
        <w:t>Źródła</w:t>
      </w:r>
    </w:p>
    <w:p>
      <w:pPr>
        <w:pStyle w:val="ListBullet"/>
      </w:pPr>
      <w:r>
        <w:t>TGE – Rynek Dnia Następnego: tge.pl/energia-elektryczna-rdn</w:t>
      </w:r>
    </w:p>
    <w:p>
      <w:pPr>
        <w:pStyle w:val="ListBullet"/>
      </w:pPr>
      <w:r>
        <w:t>TGE – Ceny dynamiczne: tge.pl/ceny_dynamiczne</w:t>
      </w:r>
    </w:p>
    <w:p>
      <w:pPr>
        <w:pStyle w:val="ListBullet"/>
      </w:pPr>
      <w:r>
        <w:t>Enea – Ceny Dynamiczne Firma: enea.pl/ceny-dynamiczne-firma</w:t>
      </w:r>
    </w:p>
    <w:p>
      <w:pPr>
        <w:pStyle w:val="ListBullet"/>
      </w:pPr>
      <w:r>
        <w:t>Energa – Oferta Dynamiczna dla Firm: energa.pl/mala-firma/oferty/oferta-dynamiczna-dla-firm</w:t>
      </w:r>
    </w:p>
    <w:p>
      <w:pPr>
        <w:pStyle w:val="ListBullet"/>
      </w:pPr>
      <w:r>
        <w:t>URE – Taryfy na 2026 r.: ure.gov.pl</w:t>
      </w:r>
    </w:p>
    <w:p>
      <w:pPr>
        <w:pStyle w:val="ListBullet"/>
      </w:pPr>
      <w:r>
        <w:t>Gramwzielone – Ujemne ceny energii: gramwzielone.pl</w:t>
      </w:r>
    </w:p>
    <w:p>
      <w:pPr>
        <w:pStyle w:val="ListBullet"/>
      </w:pPr>
      <w:r>
        <w:t>WNP – Ujemne ceny energii: wnp.pl</w:t>
      </w:r>
    </w:p>
    <w:p>
      <w:pPr>
        <w:pStyle w:val="ListBullet"/>
      </w:pPr>
      <w:r>
        <w:t>Axpo – Rekordowe ujemne ceny: axpo.com/pl</w:t>
      </w:r>
    </w:p>
    <w:p>
      <w:pPr>
        <w:pStyle w:val="ListBullet"/>
      </w:pPr>
      <w:r>
        <w:t>PV Force – Peak Shaving: pvforce.pl/blog/peak-shaving</w:t>
      </w:r>
    </w:p>
    <w:p>
      <w:pPr>
        <w:pStyle w:val="ListBullet"/>
      </w:pPr>
      <w:r>
        <w:t>Alians OZE – Opłata mocowa 2026: alians-oze.pl</w:t>
      </w:r>
    </w:p>
    <w:p>
      <w:pPr>
        <w:pStyle w:val="ListBullet"/>
      </w:pPr>
      <w:r>
        <w:t>WysokieNapiecie – Opłata mocowa rośnie o 50%: wysokienapiecie.pl</w:t>
      </w:r>
    </w:p>
    <w:p>
      <w:pPr>
        <w:pStyle w:val="ListBullet"/>
      </w:pPr>
      <w:r>
        <w:t>Dudkowiak – BESS Legal Requirements 2025: dudkowiak.com</w:t>
      </w:r>
    </w:p>
    <w:p>
      <w:pPr>
        <w:pStyle w:val="ListBullet"/>
      </w:pPr>
      <w:r>
        <w:t>CMS Expert Guide – Energy Storage Poland: cms.law</w:t>
      </w:r>
    </w:p>
    <w:p>
      <w:pPr>
        <w:pStyle w:val="ListBullet"/>
      </w:pPr>
      <w:r>
        <w:t>NFOŚiGW – Nabór magazyny energii: gov.pl/web/nfosigw</w:t>
      </w:r>
    </w:p>
    <w:p>
      <w:pPr>
        <w:pStyle w:val="ListBullet"/>
      </w:pPr>
      <w:r>
        <w:t>CATL EnerOne: catl.com</w:t>
      </w:r>
    </w:p>
    <w:p>
      <w:pPr>
        <w:pStyle w:val="ListBullet"/>
      </w:pPr>
      <w:r>
        <w:t>Sungrow PowerStack: sungrow.com</w:t>
      </w:r>
    </w:p>
    <w:p>
      <w:pPr>
        <w:pStyle w:val="ListBullet"/>
      </w:pPr>
      <w:r>
        <w:t>Huawei LUNA2000: solar.huawei.com</w:t>
      </w:r>
    </w:p>
    <w:p>
      <w:pPr>
        <w:pStyle w:val="ListBullet"/>
      </w:pPr>
      <w:r>
        <w:t>Ennovation Technology ENNO-EMS: ennovationtech.eu</w:t>
      </w:r>
    </w:p>
    <w:p>
      <w:pPr>
        <w:pStyle w:val="ListBullet"/>
      </w:pPr>
      <w:r>
        <w:t>Tibo Energy Alice AI: tibo.energy</w:t>
      </w:r>
    </w:p>
    <w:p>
      <w:pPr>
        <w:pStyle w:val="ListBullet"/>
      </w:pPr>
      <w:r>
        <w:t>PSME – Polskie Stowarzyszenie Magazynowania Energii: psme.org.pl</w:t>
      </w:r>
    </w:p>
    <w:p>
      <w:pPr>
        <w:pStyle w:val="ListBullet"/>
      </w:pPr>
      <w:r>
        <w:t>Energy Instrat – Ceny energii: energy.instrat.pl</w:t>
      </w:r>
    </w:p>
    <w:p>
      <w:pPr>
        <w:pStyle w:val="ListBullet"/>
      </w:pPr>
      <w:r>
        <w:t>Clean Horizon – Poland BESS Market: ess-news.com</w:t>
      </w:r>
    </w:p>
    <w:p>
      <w:pPr>
        <w:pStyle w:val="ListBullet"/>
      </w:pPr>
      <w:r>
        <w:t>Capstone DC – Europe Battery Storage: capstonedc.com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