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a78856fa048cd5dd64fe04db2d95c552dabdd324.png"/>
            <a:graphic>
              <a:graphicData uri="http://schemas.openxmlformats.org/drawingml/2006/picture">
                <pic:pic>
                  <pic:nvPicPr>
                    <pic:cNvPr id="1" name="image-a78856fa048cd5dd64fe04db2d95c552dabdd324.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Theoretical Frameworks for Studying Self-Reported Reasons for Weight Gain: A Research Analysis</w:t>
      </w:r>
    </w:p>
    <w:p>
      <w:pPr>
        <w:spacing w:line="360" w:after="210" w:lineRule="auto"/>
      </w:pPr>
      <w:r>
        <w:rPr>
          <w:rFonts w:eastAsia="inter" w:cs="inter" w:ascii="inter" w:hAnsi="inter"/>
          <w:color w:val="000000"/>
        </w:rPr>
        <w:t xml:space="preserve">Self-reported reasons for weight gain represent a rich area for exploration that intersects psychology, behavioral science, and health research. Your focus on qualitative thematic analysis of free-text weight gain explanations has significant potential. Based on the academic literature, several robust theoretical frameworks and methodological approaches can guide your research on self-reported reasons for weight gain.</w:t>
      </w:r>
    </w:p>
    <w:p>
      <w:pPr>
        <w:spacing w:line="360" w:before="315" w:after="105" w:lineRule="auto"/>
        <w:ind w:left="-30"/>
        <w:jc w:val="left"/>
      </w:pPr>
      <w:r>
        <w:rPr>
          <w:rFonts w:eastAsia="inter" w:cs="inter" w:ascii="inter" w:hAnsi="inter"/>
          <w:b/>
          <w:color w:val="000000"/>
          <w:sz w:val="24"/>
        </w:rPr>
        <w:t xml:space="preserve">Health Belief Model as a Framework for Understanding Weight Gain Perceptions</w:t>
      </w:r>
    </w:p>
    <w:p>
      <w:pPr>
        <w:spacing w:line="360" w:after="210" w:lineRule="auto"/>
      </w:pPr>
      <w:r>
        <w:rPr>
          <w:rFonts w:eastAsia="inter" w:cs="inter" w:ascii="inter" w:hAnsi="inter"/>
          <w:color w:val="000000"/>
        </w:rPr>
        <w:t xml:space="preserve">The Health Belief Model (HBM) offers a comprehensive theoretical framework particularly well-suited for analyzing self-reported reasons for weight gain. This model examines how individuals' perceptions of health threats, benefits of action, and barriers to action influence their health behaviors.</w:t>
      </w:r>
    </w:p>
    <w:p>
      <w:pPr>
        <w:spacing w:line="360" w:after="210" w:lineRule="auto"/>
      </w:pPr>
      <w:r>
        <w:rPr>
          <w:rFonts w:eastAsia="inter" w:cs="inter" w:ascii="inter" w:hAnsi="inter"/>
          <w:color w:val="000000"/>
        </w:rPr>
        <w:t xml:space="preserve">Recent research exploring weight management during menopausal transition demonstrates the HBM's effectiveness in understanding different weight trajectories. A 2025 qualitative comparative study (ME-WEL project) used the HBM to analyze interviews with 62 post-menopausal women, revealing significant differences between those who maintained healthy weight versus those who gained weight during menopause</w:t>
      </w:r>
      <w:bookmarkStart w:id="0" w:name="fnref1"/>
      <w:bookmarkEnd w:id="0"/>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The study identified key HBM constructs that differentiated the groups:</w:t>
      </w:r>
    </w:p>
    <w:p>
      <w:pPr>
        <w:numPr>
          <w:ilvl w:val="0"/>
          <w:numId w:val="1"/>
        </w:numPr>
        <w:spacing w:line="360" w:before="105" w:after="105" w:lineRule="auto"/>
      </w:pPr>
      <w:r>
        <w:rPr>
          <w:rFonts w:eastAsia="inter" w:cs="inter" w:ascii="inter" w:hAnsi="inter"/>
          <w:b/>
          <w:color w:val="000000"/>
          <w:sz w:val="21"/>
        </w:rPr>
        <w:t xml:space="preserve">Perceived susceptibility</w:t>
      </w:r>
      <w:r>
        <w:rPr>
          <w:rFonts w:eastAsia="inter" w:cs="inter" w:ascii="inter" w:hAnsi="inter"/>
          <w:color w:val="000000"/>
          <w:sz w:val="21"/>
        </w:rPr>
        <w:t xml:space="preserve">: Women who maintained healthy weight showed greater awareness of their susceptibility to weight gain during pre-menopause, while those who gained weight lacked this awareness</w:t>
      </w:r>
      <w:bookmarkStart w:id="1" w:name="fnref1:1"/>
      <w:bookmarkEnd w:id="1"/>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b/>
          <w:color w:val="000000"/>
          <w:sz w:val="21"/>
        </w:rPr>
        <w:t xml:space="preserve">Perceived benefits</w:t>
      </w:r>
      <w:r>
        <w:rPr>
          <w:rFonts w:eastAsia="inter" w:cs="inter" w:ascii="inter" w:hAnsi="inter"/>
          <w:color w:val="000000"/>
          <w:sz w:val="21"/>
        </w:rPr>
        <w:t xml:space="preserve">: Weight maintainers focused on long-term benefits and self-concept, while weight gainers prioritized immediate changes</w:t>
      </w:r>
      <w:bookmarkStart w:id="2" w:name="fnref1:2"/>
      <w:bookmarkEnd w:id="2"/>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b/>
          <w:color w:val="000000"/>
          <w:sz w:val="21"/>
        </w:rPr>
        <w:t xml:space="preserve">Perceived barriers</w:t>
      </w:r>
      <w:r>
        <w:rPr>
          <w:rFonts w:eastAsia="inter" w:cs="inter" w:ascii="inter" w:hAnsi="inter"/>
          <w:color w:val="000000"/>
          <w:sz w:val="21"/>
        </w:rPr>
        <w:t xml:space="preserve">: Both groups identified common barriers like food cravings, but their responses to these barriers differed significantly</w:t>
      </w:r>
      <w:bookmarkStart w:id="3" w:name="fnref1:3"/>
      <w:bookmarkEnd w:id="3"/>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b/>
          <w:color w:val="000000"/>
          <w:sz w:val="21"/>
        </w:rPr>
        <w:t xml:space="preserve">Cues to action</w:t>
      </w:r>
      <w:r>
        <w:rPr>
          <w:rFonts w:eastAsia="inter" w:cs="inter" w:ascii="inter" w:hAnsi="inter"/>
          <w:color w:val="000000"/>
          <w:sz w:val="21"/>
        </w:rPr>
        <w:t xml:space="preserve">: Weight maintainers responded to age progression and adhered to healthy behaviors, while weight gainers emphasized social support needs</w:t>
      </w:r>
      <w:bookmarkStart w:id="4" w:name="fnref1:4"/>
      <w:bookmarkEnd w:id="4"/>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b/>
          <w:color w:val="000000"/>
          <w:sz w:val="21"/>
        </w:rPr>
        <w:t xml:space="preserve">Self-efficacy</w:t>
      </w:r>
      <w:r>
        <w:rPr>
          <w:rFonts w:eastAsia="inter" w:cs="inter" w:ascii="inter" w:hAnsi="inter"/>
          <w:color w:val="000000"/>
          <w:sz w:val="21"/>
        </w:rPr>
        <w:t xml:space="preserve">: Perhaps most importantly, women who maintained healthy weight demonstrated higher self-efficacy</w:t>
      </w:r>
      <w:bookmarkStart w:id="5" w:name="fnref1:5"/>
      <w:bookmarkEnd w:id="5"/>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Similar application of the HBM appears in research on young Singaporean men transititing out of National Service, where researchers found that despite weight gain awareness, participants "did not display immediate concerns nor view leading a healthy lifestyle as priority, citing time constraints, inertia to comply, or lack of access to sports facilities and healthy food options as barriers"</w:t>
      </w:r>
      <w:bookmarkStart w:id="6" w:name="fnref2"/>
      <w:bookmarkEnd w:id="6"/>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The HBM framework successfully identified motivators (internal factors like self-motivation and habit) and barriers (time constraints, access issues) to healthy weight management</w:t>
      </w:r>
      <w:bookmarkStart w:id="7" w:name="fnref2:1"/>
      <w:bookmarkEnd w:id="7"/>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Cultural Adaptations of HBM</w:t>
      </w:r>
    </w:p>
    <w:p>
      <w:pPr>
        <w:spacing w:line="360" w:after="210" w:lineRule="auto"/>
      </w:pPr>
      <w:r>
        <w:rPr>
          <w:rFonts w:eastAsia="inter" w:cs="inter" w:ascii="inter" w:hAnsi="inter"/>
          <w:color w:val="000000"/>
        </w:rPr>
        <w:t xml:space="preserve">The HBM has been culturally adapted to understand weight gain in diverse populations. A study with Gulf Cooperation Council (GCC) women examined perimenopausal weight gain using a combination of the HBM and Kleiman's explanatory model to identify culturally specific factors</w:t>
      </w:r>
      <w:bookmarkStart w:id="8" w:name="fnref3"/>
      <w:bookmarkEnd w:id="8"/>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 This approach revealed how cultural influences operate at multiple levels to affect weight management behaviors in this population</w:t>
      </w:r>
      <w:bookmarkStart w:id="9" w:name="fnref3:1"/>
      <w:bookmarkEnd w:id="9"/>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Prospect Theory: A Behavioral Economics Approach to Weight Decisions</w:t>
      </w:r>
    </w:p>
    <w:p>
      <w:pPr>
        <w:spacing w:line="360" w:after="210" w:lineRule="auto"/>
      </w:pPr>
      <w:r>
        <w:rPr>
          <w:rFonts w:eastAsia="inter" w:cs="inter" w:ascii="inter" w:hAnsi="inter"/>
          <w:color w:val="000000"/>
        </w:rPr>
        <w:t xml:space="preserve">Beyond traditional health behavior models, researchers have applied prospect theory from behavioral economics to understand weight-related decision-making. This innovative approach examines how people evaluate potential losses and gains in weight management choices.</w:t>
      </w:r>
    </w:p>
    <w:p>
      <w:pPr>
        <w:spacing w:line="360" w:after="210" w:lineRule="auto"/>
      </w:pPr>
      <w:r>
        <w:rPr>
          <w:rFonts w:eastAsia="inter" w:cs="inter" w:ascii="inter" w:hAnsi="inter"/>
          <w:color w:val="000000"/>
        </w:rPr>
        <w:t xml:space="preserve">A novel study developed a decision-making paradigm that applied prospect theory to body mass, measuring risk-related preferences and loss aversion parameters</w:t>
      </w:r>
      <w:bookmarkStart w:id="10" w:name="fnref4"/>
      <w:bookmarkEnd w:id="10"/>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The researchers found that:</w:t>
      </w:r>
    </w:p>
    <w:p>
      <w:pPr>
        <w:numPr>
          <w:ilvl w:val="0"/>
          <w:numId w:val="2"/>
        </w:numPr>
        <w:spacing w:line="360" w:before="105" w:after="105" w:lineRule="auto"/>
      </w:pPr>
      <w:r>
        <w:rPr>
          <w:rFonts w:eastAsia="inter" w:cs="inter" w:ascii="inter" w:hAnsi="inter"/>
          <w:color w:val="000000"/>
          <w:sz w:val="21"/>
        </w:rPr>
        <w:t xml:space="preserve">Risk-seeking tendency for weight loss positively correlated with BMI in individuals wanting to lose weight.</w:t>
      </w:r>
    </w:p>
    <w:p>
      <w:pPr>
        <w:numPr>
          <w:ilvl w:val="0"/>
          <w:numId w:val="2"/>
        </w:numPr>
        <w:spacing w:line="360" w:before="105" w:after="105" w:lineRule="auto"/>
      </w:pPr>
      <w:r>
        <w:rPr>
          <w:rFonts w:eastAsia="inter" w:cs="inter" w:ascii="inter" w:hAnsi="inter"/>
          <w:color w:val="000000"/>
          <w:sz w:val="21"/>
        </w:rPr>
        <w:t xml:space="preserve">Risk-seeking for weight loss correlated with excessive body shape preoccupations.</w:t>
      </w:r>
    </w:p>
    <w:p>
      <w:pPr>
        <w:numPr>
          <w:ilvl w:val="0"/>
          <w:numId w:val="2"/>
        </w:numPr>
        <w:spacing w:line="360" w:before="105" w:after="105" w:lineRule="auto"/>
      </w:pPr>
      <w:r>
        <w:rPr>
          <w:rFonts w:eastAsia="inter" w:cs="inter" w:ascii="inter" w:hAnsi="inter"/>
          <w:color w:val="000000"/>
          <w:sz w:val="21"/>
        </w:rPr>
        <w:t xml:space="preserve">Aversion to weight gain correlated with self-reports of behavioral involvement for successful weight loss</w:t>
      </w:r>
      <w:bookmarkStart w:id="11" w:name="fnref4:1"/>
      <w:bookmarkEnd w:id="11"/>
      <w:hyperlink w:anchor="fn4">
        <w:r>
          <w:rPr>
            <w:rFonts w:eastAsia="inter" w:cs="inter" w:ascii="inter" w:hAnsi="inter"/>
            <w:color w:val="#000"/>
            <w:sz w:val="21"/>
            <w:u w:val="single"/>
            <w:vertAlign w:val="superscript"/>
          </w:rPr>
          <w:t xml:space="preserve">[4]</w:t>
        </w:r>
      </w:hyperlink>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This theoretical framework helps explain why individuals make seemingly irrational decisions regarding weight management and could provide valuable insights for categorizing self-reported reasons for weight gain.</w:t>
      </w:r>
    </w:p>
    <w:p>
      <w:pPr>
        <w:spacing w:line="360" w:before="315" w:after="105" w:lineRule="auto"/>
        <w:ind w:left="-30"/>
        <w:jc w:val="left"/>
      </w:pPr>
      <w:r>
        <w:rPr>
          <w:rFonts w:eastAsia="inter" w:cs="inter" w:ascii="inter" w:hAnsi="inter"/>
          <w:b/>
          <w:color w:val="000000"/>
          <w:sz w:val="24"/>
        </w:rPr>
        <w:t xml:space="preserve">Psychological Variables and Weight Gain</w:t>
      </w:r>
    </w:p>
    <w:p>
      <w:pPr>
        <w:spacing w:line="360" w:after="210" w:lineRule="auto"/>
      </w:pPr>
      <w:r>
        <w:rPr>
          <w:rFonts w:eastAsia="inter" w:cs="inter" w:ascii="inter" w:hAnsi="inter"/>
          <w:color w:val="000000"/>
        </w:rPr>
        <w:t xml:space="preserve">Several studies examine how specific psychological factors influence weight gain across various populations. These provide a foundation for categorizing and understanding self-reported reasons.</w:t>
      </w:r>
    </w:p>
    <w:p>
      <w:pPr>
        <w:spacing w:line="360" w:before="315" w:after="105" w:lineRule="auto"/>
        <w:ind w:left="-30"/>
        <w:jc w:val="left"/>
      </w:pPr>
      <w:r>
        <w:rPr>
          <w:rFonts w:eastAsia="inter" w:cs="inter" w:ascii="inter" w:hAnsi="inter"/>
          <w:b/>
          <w:color w:val="000000"/>
          <w:sz w:val="24"/>
        </w:rPr>
        <w:t xml:space="preserve">Self-Efficacy and Weight Locus of Control</w:t>
      </w:r>
    </w:p>
    <w:p>
      <w:pPr>
        <w:spacing w:line="360" w:after="210" w:lineRule="auto"/>
      </w:pPr>
      <w:r>
        <w:rPr>
          <w:rFonts w:eastAsia="inter" w:cs="inter" w:ascii="inter" w:hAnsi="inter"/>
          <w:color w:val="000000"/>
        </w:rPr>
        <w:t xml:space="preserve">In low-income populations, psychological factors significantly affect gestational weight gain. Research shows that theory of planned behavior-informed constructs associated with less gestational weight gain included:</w:t>
      </w:r>
    </w:p>
    <w:p>
      <w:pPr>
        <w:numPr>
          <w:ilvl w:val="0"/>
          <w:numId w:val="3"/>
        </w:numPr>
        <w:spacing w:line="360" w:before="105" w:after="105" w:lineRule="auto"/>
      </w:pPr>
      <w:r>
        <w:rPr>
          <w:rFonts w:eastAsia="inter" w:cs="inter" w:ascii="inter" w:hAnsi="inter"/>
          <w:color w:val="000000"/>
          <w:sz w:val="21"/>
        </w:rPr>
        <w:t xml:space="preserve">Internal weight locus of control</w:t>
      </w:r>
    </w:p>
    <w:p>
      <w:pPr>
        <w:numPr>
          <w:ilvl w:val="0"/>
          <w:numId w:val="3"/>
        </w:numPr>
        <w:spacing w:line="360" w:before="105" w:after="105" w:lineRule="auto"/>
      </w:pPr>
      <w:r>
        <w:rPr>
          <w:rFonts w:eastAsia="inter" w:cs="inter" w:ascii="inter" w:hAnsi="inter"/>
          <w:color w:val="000000"/>
          <w:sz w:val="21"/>
        </w:rPr>
        <w:t xml:space="preserve">Higher self-efficacy</w:t>
      </w:r>
    </w:p>
    <w:p>
      <w:pPr>
        <w:numPr>
          <w:ilvl w:val="0"/>
          <w:numId w:val="3"/>
        </w:numPr>
        <w:spacing w:line="360" w:before="105" w:after="105" w:lineRule="auto"/>
      </w:pPr>
      <w:r>
        <w:rPr>
          <w:rFonts w:eastAsia="inter" w:cs="inter" w:ascii="inter" w:hAnsi="inter"/>
          <w:color w:val="000000"/>
          <w:sz w:val="21"/>
        </w:rPr>
        <w:t xml:space="preserve">Lower levels of perinatal depression</w:t>
      </w:r>
      <w:bookmarkStart w:id="12" w:name="fnref5"/>
      <w:bookmarkEnd w:id="12"/>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color w:val="000000"/>
        </w:rPr>
        <w:t xml:space="preserve">These findings suggest that psychological factors may operate similarly in other populations and contexts.</w:t>
      </w:r>
    </w:p>
    <w:p>
      <w:pPr>
        <w:spacing w:line="360" w:before="315" w:after="105" w:lineRule="auto"/>
        <w:ind w:left="-30"/>
        <w:jc w:val="left"/>
      </w:pPr>
      <w:r>
        <w:rPr>
          <w:rFonts w:eastAsia="inter" w:cs="inter" w:ascii="inter" w:hAnsi="inter"/>
          <w:b/>
          <w:color w:val="000000"/>
          <w:sz w:val="24"/>
        </w:rPr>
        <w:t xml:space="preserve">Self-Esteem and Perfectionism</w:t>
      </w:r>
    </w:p>
    <w:p>
      <w:pPr>
        <w:spacing w:line="360" w:after="210" w:lineRule="auto"/>
      </w:pPr>
      <w:r>
        <w:rPr>
          <w:rFonts w:eastAsia="inter" w:cs="inter" w:ascii="inter" w:hAnsi="inter"/>
          <w:color w:val="000000"/>
        </w:rPr>
        <w:t xml:space="preserve">For adolescents with eating disorders, psychological variables predict weight gain patterns. A prospective study found that, after controlling for ideal body weight at admission:</w:t>
      </w:r>
    </w:p>
    <w:p>
      <w:pPr>
        <w:numPr>
          <w:ilvl w:val="0"/>
          <w:numId w:val="4"/>
        </w:numPr>
        <w:spacing w:line="360" w:before="105" w:after="105" w:lineRule="auto"/>
      </w:pPr>
      <w:r>
        <w:rPr>
          <w:rFonts w:eastAsia="inter" w:cs="inter" w:ascii="inter" w:hAnsi="inter"/>
          <w:color w:val="000000"/>
          <w:sz w:val="21"/>
        </w:rPr>
        <w:t xml:space="preserve">Higher self-esteem predicted shorter time to reach 85% of ideal body weight</w:t>
      </w:r>
    </w:p>
    <w:p>
      <w:pPr>
        <w:numPr>
          <w:ilvl w:val="0"/>
          <w:numId w:val="4"/>
        </w:numPr>
        <w:spacing w:line="360" w:before="105" w:after="105" w:lineRule="auto"/>
      </w:pPr>
      <w:r>
        <w:rPr>
          <w:rFonts w:eastAsia="inter" w:cs="inter" w:ascii="inter" w:hAnsi="inter"/>
          <w:color w:val="000000"/>
          <w:sz w:val="21"/>
        </w:rPr>
        <w:t xml:space="preserve">Lower perfectionism predicted shorter time to reach 85% of ideal body weight</w:t>
      </w:r>
    </w:p>
    <w:p>
      <w:pPr>
        <w:numPr>
          <w:ilvl w:val="0"/>
          <w:numId w:val="4"/>
        </w:numPr>
        <w:spacing w:line="360" w:before="105" w:after="105" w:lineRule="auto"/>
      </w:pPr>
      <w:r>
        <w:rPr>
          <w:rFonts w:eastAsia="inter" w:cs="inter" w:ascii="inter" w:hAnsi="inter"/>
          <w:color w:val="000000"/>
          <w:sz w:val="21"/>
        </w:rPr>
        <w:t xml:space="preserve">Emotion regulation was marginally significant as a predictor</w:t>
      </w:r>
      <w:bookmarkStart w:id="13" w:name="fnref6"/>
      <w:bookmarkEnd w:id="13"/>
      <w:hyperlink w:anchor="fn6">
        <w:r>
          <w:rPr>
            <w:rFonts w:eastAsia="inter" w:cs="inter" w:ascii="inter" w:hAnsi="inter"/>
            <w:color w:val="#000"/>
            <w:sz w:val="21"/>
            <w:u w:val="single"/>
            <w:vertAlign w:val="superscript"/>
          </w:rPr>
          <w:t xml:space="preserve">[6]</w:t>
        </w:r>
      </w:hyperlink>
    </w:p>
    <w:p>
      <w:pPr>
        <w:spacing w:line="360" w:after="210" w:lineRule="auto"/>
      </w:pPr>
      <w:r>
        <w:rPr>
          <w:rFonts w:eastAsia="inter" w:cs="inter" w:ascii="inter" w:hAnsi="inter"/>
          <w:color w:val="000000"/>
        </w:rPr>
        <w:t xml:space="preserve">These relationships between psychological variables and weight gain rapidity suggest potential pathways through which psychological factors influence weight trajectories.</w:t>
      </w:r>
    </w:p>
    <w:p>
      <w:pPr>
        <w:spacing w:line="360" w:before="315" w:after="105" w:lineRule="auto"/>
        <w:ind w:left="-30"/>
        <w:jc w:val="left"/>
      </w:pPr>
      <w:r>
        <w:rPr>
          <w:rFonts w:eastAsia="inter" w:cs="inter" w:ascii="inter" w:hAnsi="inter"/>
          <w:b/>
          <w:color w:val="000000"/>
          <w:sz w:val="24"/>
        </w:rPr>
        <w:t xml:space="preserve">Qualitative Studies on Weight Gain Experience</w:t>
      </w:r>
    </w:p>
    <w:p>
      <w:pPr>
        <w:spacing w:line="360" w:after="210" w:lineRule="auto"/>
      </w:pPr>
      <w:r>
        <w:rPr>
          <w:rFonts w:eastAsia="inter" w:cs="inter" w:ascii="inter" w:hAnsi="inter"/>
          <w:color w:val="000000"/>
        </w:rPr>
        <w:t xml:space="preserve">Several qualitative studies provide methodological approaches for analyzing self-reported reasons for weight gain across different contexts. These studies demonstrate the value of thematic analysis for understanding the subjective experience of weight changes.</w:t>
      </w:r>
    </w:p>
    <w:p>
      <w:pPr>
        <w:spacing w:line="360" w:before="315" w:after="105" w:lineRule="auto"/>
        <w:ind w:left="-30"/>
        <w:jc w:val="left"/>
      </w:pPr>
      <w:r>
        <w:rPr>
          <w:rFonts w:eastAsia="inter" w:cs="inter" w:ascii="inter" w:hAnsi="inter"/>
          <w:b/>
          <w:color w:val="000000"/>
          <w:sz w:val="24"/>
        </w:rPr>
        <w:t xml:space="preserve">Life Transitions and Weight Gain</w:t>
      </w:r>
    </w:p>
    <w:p>
      <w:pPr>
        <w:spacing w:line="360" w:after="210" w:lineRule="auto"/>
      </w:pPr>
      <w:r>
        <w:rPr>
          <w:rFonts w:eastAsia="inter" w:cs="inter" w:ascii="inter" w:hAnsi="inter"/>
          <w:color w:val="000000"/>
        </w:rPr>
        <w:t xml:space="preserve">Recent qualitative research has examined weight gain during significant life transitions, offering templates for your thematic analysis. A 2022 study explored young men's experiences of intentional weight gain during a controlled experiment. Using framework analysis of semi-structured interviews, researchers identified themes including:</w:t>
      </w:r>
    </w:p>
    <w:p>
      <w:pPr>
        <w:numPr>
          <w:ilvl w:val="0"/>
          <w:numId w:val="5"/>
        </w:numPr>
        <w:spacing w:line="360" w:before="105" w:after="105" w:lineRule="auto"/>
      </w:pPr>
      <w:r>
        <w:rPr>
          <w:rFonts w:eastAsia="inter" w:cs="inter" w:ascii="inter" w:hAnsi="inter"/>
          <w:color w:val="000000"/>
          <w:sz w:val="21"/>
        </w:rPr>
        <w:t xml:space="preserve">Cultural norms viewing unhealthy foods as "luxury" items</w:t>
      </w:r>
    </w:p>
    <w:p>
      <w:pPr>
        <w:numPr>
          <w:ilvl w:val="0"/>
          <w:numId w:val="5"/>
        </w:numPr>
        <w:spacing w:line="360" w:before="105" w:after="105" w:lineRule="auto"/>
      </w:pPr>
      <w:r>
        <w:rPr>
          <w:rFonts w:eastAsia="inter" w:cs="inter" w:ascii="inter" w:hAnsi="inter"/>
          <w:color w:val="000000"/>
          <w:sz w:val="21"/>
        </w:rPr>
        <w:t xml:space="preserve">Social environments amplifying overeating</w:t>
      </w:r>
    </w:p>
    <w:p>
      <w:pPr>
        <w:numPr>
          <w:ilvl w:val="0"/>
          <w:numId w:val="5"/>
        </w:numPr>
        <w:spacing w:line="360" w:before="105" w:after="105" w:lineRule="auto"/>
      </w:pPr>
      <w:r>
        <w:rPr>
          <w:rFonts w:eastAsia="inter" w:cs="inter" w:ascii="inter" w:hAnsi="inter"/>
          <w:color w:val="000000"/>
          <w:sz w:val="21"/>
        </w:rPr>
        <w:t xml:space="preserve">Valorization of weight gain associated with increased muscle size</w:t>
      </w:r>
      <w:bookmarkStart w:id="14" w:name="fnref7"/>
      <w:bookmarkEnd w:id="14"/>
      <w:hyperlink w:anchor="fn7">
        <w:r>
          <w:rPr>
            <w:rFonts w:eastAsia="inter" w:cs="inter" w:ascii="inter" w:hAnsi="inter"/>
            <w:color w:val="#000"/>
            <w:sz w:val="21"/>
            <w:u w:val="single"/>
            <w:vertAlign w:val="superscript"/>
          </w:rPr>
          <w:t xml:space="preserve">[7]</w:t>
        </w:r>
      </w:hyperlink>
    </w:p>
    <w:p>
      <w:pPr>
        <w:spacing w:line="360" w:after="210" w:lineRule="auto"/>
      </w:pPr>
      <w:r>
        <w:rPr>
          <w:rFonts w:eastAsia="inter" w:cs="inter" w:ascii="inter" w:hAnsi="inter"/>
          <w:color w:val="000000"/>
        </w:rPr>
        <w:t xml:space="preserve">Similarly, research on Singaporean men transitioning out of National Service revealed themes around decreased physical activity, increased unhealthy food consumption, and barriers including time constraints and environmental factors</w:t>
      </w:r>
      <w:bookmarkStart w:id="15" w:name="fnref2:2"/>
      <w:bookmarkEnd w:id="15"/>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Post-Medical Treatment Weight Gain</w:t>
      </w:r>
    </w:p>
    <w:p>
      <w:pPr>
        <w:spacing w:line="360" w:after="210" w:lineRule="auto"/>
      </w:pPr>
      <w:r>
        <w:rPr>
          <w:rFonts w:eastAsia="inter" w:cs="inter" w:ascii="inter" w:hAnsi="inter"/>
          <w:color w:val="000000"/>
        </w:rPr>
        <w:t xml:space="preserve">Qualitative studies have also examined weight gain following medical treatments. A 2022 study exploring patients' experiences with weight gain after liver transplantation used reflexive thematic analysis to identify a constitutive theme: "The main thing is to be alive"</w:t>
      </w:r>
      <w:bookmarkStart w:id="16" w:name="fnref8"/>
      <w:bookmarkEnd w:id="16"/>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This overarching theme manifested in three facets:</w:t>
      </w:r>
    </w:p>
    <w:p>
      <w:pPr>
        <w:numPr>
          <w:ilvl w:val="0"/>
          <w:numId w:val="6"/>
        </w:numPr>
        <w:spacing w:line="360" w:before="105" w:after="105" w:lineRule="auto"/>
      </w:pPr>
      <w:r>
        <w:rPr>
          <w:rFonts w:eastAsia="inter" w:cs="inter" w:ascii="inter" w:hAnsi="inter"/>
          <w:color w:val="000000"/>
          <w:sz w:val="21"/>
        </w:rPr>
        <w:t xml:space="preserve">"The arduous path back to living" - emotional expression of ups and downs</w:t>
      </w:r>
    </w:p>
    <w:p>
      <w:pPr>
        <w:numPr>
          <w:ilvl w:val="0"/>
          <w:numId w:val="6"/>
        </w:numPr>
        <w:spacing w:line="360" w:before="105" w:after="105" w:lineRule="auto"/>
      </w:pPr>
      <w:r>
        <w:rPr>
          <w:rFonts w:eastAsia="inter" w:cs="inter" w:ascii="inter" w:hAnsi="inter"/>
          <w:color w:val="000000"/>
          <w:sz w:val="21"/>
        </w:rPr>
        <w:t xml:space="preserve">"A pleasurable new phase of life" - legitimation and appreciation of weight gain as signaling health</w:t>
      </w:r>
    </w:p>
    <w:p>
      <w:pPr>
        <w:numPr>
          <w:ilvl w:val="0"/>
          <w:numId w:val="6"/>
        </w:numPr>
        <w:spacing w:line="360" w:before="105" w:after="105" w:lineRule="auto"/>
      </w:pPr>
      <w:r>
        <w:rPr>
          <w:rFonts w:eastAsia="inter" w:cs="inter" w:ascii="inter" w:hAnsi="inter"/>
          <w:color w:val="000000"/>
          <w:sz w:val="21"/>
        </w:rPr>
        <w:t xml:space="preserve">"I am allowed to look like this now" - consolation after unsuccessful weight loss attempts</w:t>
      </w:r>
      <w:bookmarkStart w:id="17" w:name="fnref8:1"/>
      <w:bookmarkEnd w:id="17"/>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color w:val="000000"/>
        </w:rPr>
        <w:t xml:space="preserve">These studies illustrate how qualitative thematic analysis can reveal complex psychological and social dimensions of weight gain experiences.</w:t>
      </w:r>
    </w:p>
    <w:p>
      <w:pPr>
        <w:spacing w:line="360" w:before="315" w:after="105" w:lineRule="auto"/>
        <w:ind w:left="-30"/>
        <w:jc w:val="left"/>
      </w:pPr>
      <w:r>
        <w:rPr>
          <w:rFonts w:eastAsia="inter" w:cs="inter" w:ascii="inter" w:hAnsi="inter"/>
          <w:b/>
          <w:color w:val="000000"/>
          <w:sz w:val="24"/>
        </w:rPr>
        <w:t xml:space="preserve">Social and Cultural Influences on Weight Gain</w:t>
      </w:r>
    </w:p>
    <w:p>
      <w:pPr>
        <w:spacing w:line="360" w:after="210" w:lineRule="auto"/>
      </w:pPr>
      <w:r>
        <w:rPr>
          <w:rFonts w:eastAsia="inter" w:cs="inter" w:ascii="inter" w:hAnsi="inter"/>
          <w:color w:val="000000"/>
        </w:rPr>
        <w:t xml:space="preserve">Research highlights the importance of social and cultural contexts in understanding weight gain. These factors should be considered when categorizing self-reported reasons.</w:t>
      </w:r>
    </w:p>
    <w:p>
      <w:pPr>
        <w:spacing w:line="360" w:before="315" w:after="105" w:lineRule="auto"/>
        <w:ind w:left="-30"/>
        <w:jc w:val="left"/>
      </w:pPr>
      <w:r>
        <w:rPr>
          <w:rFonts w:eastAsia="inter" w:cs="inter" w:ascii="inter" w:hAnsi="inter"/>
          <w:b/>
          <w:color w:val="000000"/>
          <w:sz w:val="24"/>
        </w:rPr>
        <w:t xml:space="preserve">Social Exclusion and Discriminatory Experiences</w:t>
      </w:r>
    </w:p>
    <w:p>
      <w:pPr>
        <w:spacing w:line="360" w:after="210" w:lineRule="auto"/>
      </w:pPr>
      <w:r>
        <w:rPr>
          <w:rFonts w:eastAsia="inter" w:cs="inter" w:ascii="inter" w:hAnsi="inter"/>
          <w:color w:val="000000"/>
        </w:rPr>
        <w:t xml:space="preserve">Experimental research demonstrates how social exclusion can affect eating behaviors. A laboratory study with African-American women found that:</w:t>
      </w:r>
    </w:p>
    <w:p>
      <w:pPr>
        <w:numPr>
          <w:ilvl w:val="0"/>
          <w:numId w:val="7"/>
        </w:numPr>
        <w:spacing w:line="360" w:before="105" w:after="105" w:lineRule="auto"/>
      </w:pPr>
      <w:r>
        <w:rPr>
          <w:rFonts w:eastAsia="inter" w:cs="inter" w:ascii="inter" w:hAnsi="inter"/>
          <w:color w:val="000000"/>
          <w:sz w:val="21"/>
        </w:rPr>
        <w:t xml:space="preserve">Women ate more potato chips after being excluded by Caucasians than by African-Americans</w:t>
      </w:r>
    </w:p>
    <w:p>
      <w:pPr>
        <w:numPr>
          <w:ilvl w:val="0"/>
          <w:numId w:val="7"/>
        </w:numPr>
        <w:spacing w:line="360" w:before="105" w:after="105" w:lineRule="auto"/>
      </w:pPr>
      <w:r>
        <w:rPr>
          <w:rFonts w:eastAsia="inter" w:cs="inter" w:ascii="inter" w:hAnsi="inter"/>
          <w:color w:val="000000"/>
          <w:sz w:val="21"/>
        </w:rPr>
        <w:t xml:space="preserve">African-American women excluded by other African-American women reported more emotional distress than those excluded by Caucasian women</w:t>
      </w:r>
      <w:bookmarkStart w:id="18" w:name="fnref9"/>
      <w:bookmarkEnd w:id="18"/>
      <w:hyperlink w:anchor="fn9">
        <w:r>
          <w:rPr>
            <w:rFonts w:eastAsia="inter" w:cs="inter" w:ascii="inter" w:hAnsi="inter"/>
            <w:color w:val="#000"/>
            <w:sz w:val="21"/>
            <w:u w:val="single"/>
            <w:vertAlign w:val="superscript"/>
          </w:rPr>
          <w:t xml:space="preserve">[9]</w:t>
        </w:r>
      </w:hyperlink>
    </w:p>
    <w:p>
      <w:pPr>
        <w:spacing w:line="360" w:after="210" w:lineRule="auto"/>
      </w:pPr>
      <w:r>
        <w:rPr>
          <w:rFonts w:eastAsia="inter" w:cs="inter" w:ascii="inter" w:hAnsi="inter"/>
          <w:color w:val="000000"/>
        </w:rPr>
        <w:t xml:space="preserve">These findings suggest that social ostracism and discrimination may trigger emotional eating behaviors that contribute to weight gain.</w:t>
      </w:r>
    </w:p>
    <w:p>
      <w:pPr>
        <w:spacing w:line="360" w:before="315" w:after="105" w:lineRule="auto"/>
        <w:ind w:left="-30"/>
        <w:jc w:val="left"/>
      </w:pPr>
      <w:r>
        <w:rPr>
          <w:rFonts w:eastAsia="inter" w:cs="inter" w:ascii="inter" w:hAnsi="inter"/>
          <w:b/>
          <w:color w:val="000000"/>
          <w:sz w:val="24"/>
        </w:rPr>
        <w:t xml:space="preserve">Post-Migration Dietary and Activity Changes</w:t>
      </w:r>
    </w:p>
    <w:p>
      <w:pPr>
        <w:spacing w:line="360" w:after="210" w:lineRule="auto"/>
      </w:pPr>
      <w:r>
        <w:rPr>
          <w:rFonts w:eastAsia="inter" w:cs="inter" w:ascii="inter" w:hAnsi="inter"/>
          <w:color w:val="000000"/>
        </w:rPr>
        <w:t xml:space="preserve">Research with Australian residents of sub-Saharan African ancestry identified key determinants of post-migration changes in dietary and physical activity behaviors:</w:t>
      </w:r>
    </w:p>
    <w:p>
      <w:pPr>
        <w:numPr>
          <w:ilvl w:val="0"/>
          <w:numId w:val="8"/>
        </w:numPr>
        <w:spacing w:line="360" w:before="105" w:after="105" w:lineRule="auto"/>
      </w:pPr>
      <w:r>
        <w:rPr>
          <w:rFonts w:eastAsia="inter" w:cs="inter" w:ascii="inter" w:hAnsi="inter"/>
          <w:color w:val="000000"/>
          <w:sz w:val="21"/>
        </w:rPr>
        <w:t xml:space="preserve">Availability, accessibility, and affordability of dietary and physical activity products</w:t>
      </w:r>
    </w:p>
    <w:p>
      <w:pPr>
        <w:numPr>
          <w:ilvl w:val="0"/>
          <w:numId w:val="8"/>
        </w:numPr>
        <w:spacing w:line="360" w:before="105" w:after="105" w:lineRule="auto"/>
      </w:pPr>
      <w:r>
        <w:rPr>
          <w:rFonts w:eastAsia="inter" w:cs="inter" w:ascii="inter" w:hAnsi="inter"/>
          <w:color w:val="000000"/>
          <w:sz w:val="21"/>
        </w:rPr>
        <w:t xml:space="preserve">Time management and convenience factors</w:t>
      </w:r>
    </w:p>
    <w:p>
      <w:pPr>
        <w:numPr>
          <w:ilvl w:val="0"/>
          <w:numId w:val="8"/>
        </w:numPr>
        <w:spacing w:line="360" w:before="105" w:after="105" w:lineRule="auto"/>
      </w:pPr>
      <w:r>
        <w:rPr>
          <w:rFonts w:eastAsia="inter" w:cs="inter" w:ascii="inter" w:hAnsi="inter"/>
          <w:color w:val="000000"/>
          <w:sz w:val="21"/>
        </w:rPr>
        <w:t xml:space="preserve">Taste preferences and cravings</w:t>
      </w:r>
    </w:p>
    <w:p>
      <w:pPr>
        <w:numPr>
          <w:ilvl w:val="0"/>
          <w:numId w:val="8"/>
        </w:numPr>
        <w:spacing w:line="360" w:before="105" w:after="105" w:lineRule="auto"/>
      </w:pPr>
      <w:r>
        <w:rPr>
          <w:rFonts w:eastAsia="inter" w:cs="inter" w:ascii="inter" w:hAnsi="inter"/>
          <w:color w:val="000000"/>
          <w:sz w:val="21"/>
        </w:rPr>
        <w:t xml:space="preserve">Social influence from friends and family</w:t>
      </w:r>
      <w:bookmarkStart w:id="19" w:name="fnref10"/>
      <w:bookmarkEnd w:id="19"/>
      <w:hyperlink w:anchor="fn10">
        <w:r>
          <w:rPr>
            <w:rFonts w:eastAsia="inter" w:cs="inter" w:ascii="inter" w:hAnsi="inter"/>
            <w:color w:val="#000"/>
            <w:sz w:val="21"/>
            <w:u w:val="single"/>
            <w:vertAlign w:val="superscript"/>
          </w:rPr>
          <w:t xml:space="preserve">[10]</w:t>
        </w:r>
      </w:hyperlink>
    </w:p>
    <w:p>
      <w:pPr>
        <w:spacing w:line="360" w:after="210" w:lineRule="auto"/>
      </w:pPr>
      <w:r>
        <w:rPr>
          <w:rFonts w:eastAsia="inter" w:cs="inter" w:ascii="inter" w:hAnsi="inter"/>
          <w:color w:val="000000"/>
        </w:rPr>
        <w:t xml:space="preserve">This study demonstrates how environmental changes can drive behavioral changes leading to weight gain.</w:t>
      </w:r>
    </w:p>
    <w:p>
      <w:pPr>
        <w:spacing w:line="360" w:before="315" w:after="105" w:lineRule="auto"/>
        <w:ind w:left="-30"/>
        <w:jc w:val="left"/>
      </w:pPr>
      <w:r>
        <w:rPr>
          <w:rFonts w:eastAsia="inter" w:cs="inter" w:ascii="inter" w:hAnsi="inter"/>
          <w:b/>
          <w:color w:val="000000"/>
          <w:sz w:val="24"/>
        </w:rPr>
        <w:t xml:space="preserve">Methodological Approaches for Categorizing Self-Reported Reasons</w:t>
      </w:r>
    </w:p>
    <w:p>
      <w:pPr>
        <w:spacing w:line="360" w:after="210" w:lineRule="auto"/>
      </w:pPr>
      <w:r>
        <w:rPr>
          <w:rFonts w:eastAsia="inter" w:cs="inter" w:ascii="inter" w:hAnsi="inter"/>
          <w:color w:val="000000"/>
        </w:rPr>
        <w:t xml:space="preserve">Based on the reviewed literature, several methodological approaches could inform your thematic analysis of self-reported reasons for weight gain:</w:t>
      </w:r>
    </w:p>
    <w:p>
      <w:pPr>
        <w:spacing w:line="360" w:before="315" w:after="105" w:lineRule="auto"/>
        <w:ind w:left="-30"/>
        <w:jc w:val="left"/>
      </w:pPr>
      <w:r>
        <w:rPr>
          <w:rFonts w:eastAsia="inter" w:cs="inter" w:ascii="inter" w:hAnsi="inter"/>
          <w:b/>
          <w:color w:val="000000"/>
          <w:sz w:val="24"/>
        </w:rPr>
        <w:t xml:space="preserve">Framework Analysis</w:t>
      </w:r>
    </w:p>
    <w:p>
      <w:pPr>
        <w:spacing w:line="360" w:after="210" w:lineRule="auto"/>
      </w:pPr>
      <w:r>
        <w:rPr>
          <w:rFonts w:eastAsia="inter" w:cs="inter" w:ascii="inter" w:hAnsi="inter"/>
          <w:color w:val="000000"/>
        </w:rPr>
        <w:t xml:space="preserve">The study of young men's experiences with intentional weight gain used framework analysis to systematically categorize and interpret qualitative data</w:t>
      </w:r>
      <w:bookmarkStart w:id="20" w:name="fnref7:1"/>
      <w:bookmarkEnd w:id="20"/>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 This approach allows for both a priori themes based on existing literature and emergent themes from the data.</w:t>
      </w:r>
    </w:p>
    <w:p>
      <w:pPr>
        <w:spacing w:line="360" w:before="315" w:after="105" w:lineRule="auto"/>
        <w:ind w:left="-30"/>
        <w:jc w:val="left"/>
      </w:pPr>
      <w:r>
        <w:rPr>
          <w:rFonts w:eastAsia="inter" w:cs="inter" w:ascii="inter" w:hAnsi="inter"/>
          <w:b/>
          <w:color w:val="000000"/>
          <w:sz w:val="24"/>
        </w:rPr>
        <w:t xml:space="preserve">Reflexive Thematic Analysis</w:t>
      </w:r>
    </w:p>
    <w:p>
      <w:pPr>
        <w:spacing w:line="360" w:after="210" w:lineRule="auto"/>
      </w:pPr>
      <w:r>
        <w:rPr>
          <w:rFonts w:eastAsia="inter" w:cs="inter" w:ascii="inter" w:hAnsi="inter"/>
          <w:color w:val="000000"/>
        </w:rPr>
        <w:t xml:space="preserve">The study on post-liver transplant weight gain employed reflexive thematic analysis, which emphasizes researcher reflexivity and engagement with the data</w:t>
      </w:r>
      <w:bookmarkStart w:id="21" w:name="fnref8:2"/>
      <w:bookmarkEnd w:id="21"/>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This approach may be particularly useful for identifying underlying psychological processes in self-reported reasons.</w:t>
      </w:r>
    </w:p>
    <w:p>
      <w:pPr>
        <w:spacing w:line="360" w:before="315" w:after="105" w:lineRule="auto"/>
        <w:ind w:left="-30"/>
        <w:jc w:val="left"/>
      </w:pPr>
      <w:r>
        <w:rPr>
          <w:rFonts w:eastAsia="inter" w:cs="inter" w:ascii="inter" w:hAnsi="inter"/>
          <w:b/>
          <w:color w:val="000000"/>
          <w:sz w:val="24"/>
        </w:rPr>
        <w:t xml:space="preserve">Theory-Driven Content Analysis</w:t>
      </w:r>
    </w:p>
    <w:p>
      <w:pPr>
        <w:spacing w:line="360" w:after="210" w:lineRule="auto"/>
      </w:pPr>
      <w:r>
        <w:rPr>
          <w:rFonts w:eastAsia="inter" w:cs="inter" w:ascii="inter" w:hAnsi="inter"/>
          <w:color w:val="000000"/>
        </w:rPr>
        <w:t xml:space="preserve">The ME-WEL project used deductive-dominant content analysis guided by the Health Belief Model, complemented by multiple correspondence analysis to identify patterns</w:t>
      </w:r>
      <w:bookmarkStart w:id="22" w:name="fnref1:6"/>
      <w:bookmarkEnd w:id="22"/>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This approach allows for systematic categorization while maintaining theoretical coherence.</w: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Your research idea focusing on self-reported reasons for weight gain has substantial support in the academic literature. The Health Belief Model offers a comprehensive theoretical framework for understanding how perceptions influence weight-related behaviors, while prospect theory provides insights into decision-making processes. Qualitative studies demonstrate the value of thematic analysis for uncovering complex experiences of weight gain across various contexts.</w:t>
      </w:r>
    </w:p>
    <w:p>
      <w:pPr>
        <w:spacing w:line="360" w:after="210" w:lineRule="auto"/>
      </w:pPr>
      <w:r>
        <w:rPr>
          <w:rFonts w:eastAsia="inter" w:cs="inter" w:ascii="inter" w:hAnsi="inter"/>
          <w:color w:val="000000"/>
        </w:rPr>
        <w:t xml:space="preserve">The literature suggests several categories likely to emerge in your analysis of self-reported reasons for weight gain:</w:t>
      </w:r>
    </w:p>
    <w:p>
      <w:pPr>
        <w:numPr>
          <w:ilvl w:val="0"/>
          <w:numId w:val="9"/>
        </w:numPr>
        <w:spacing w:line="360" w:before="105" w:after="105" w:lineRule="auto"/>
      </w:pPr>
      <w:r>
        <w:rPr>
          <w:rFonts w:eastAsia="inter" w:cs="inter" w:ascii="inter" w:hAnsi="inter"/>
          <w:color w:val="000000"/>
          <w:sz w:val="21"/>
        </w:rPr>
        <w:t xml:space="preserve">Psychological factors (self-efficacy, locus of control, self-esteem, perfectionism)</w:t>
      </w:r>
    </w:p>
    <w:p>
      <w:pPr>
        <w:numPr>
          <w:ilvl w:val="0"/>
          <w:numId w:val="9"/>
        </w:numPr>
        <w:spacing w:line="360" w:before="105" w:after="105" w:lineRule="auto"/>
      </w:pPr>
      <w:r>
        <w:rPr>
          <w:rFonts w:eastAsia="inter" w:cs="inter" w:ascii="inter" w:hAnsi="inter"/>
          <w:color w:val="000000"/>
          <w:sz w:val="21"/>
        </w:rPr>
        <w:t xml:space="preserve">Life transitions (menopause, post-military service, migration)</w:t>
      </w:r>
    </w:p>
    <w:p>
      <w:pPr>
        <w:numPr>
          <w:ilvl w:val="0"/>
          <w:numId w:val="9"/>
        </w:numPr>
        <w:spacing w:line="360" w:before="105" w:after="105" w:lineRule="auto"/>
      </w:pPr>
      <w:r>
        <w:rPr>
          <w:rFonts w:eastAsia="inter" w:cs="inter" w:ascii="inter" w:hAnsi="inter"/>
          <w:color w:val="000000"/>
          <w:sz w:val="21"/>
        </w:rPr>
        <w:t xml:space="preserve">Social and cultural influences (discrimination, social exclusion, cultural norms)</w:t>
      </w:r>
    </w:p>
    <w:p>
      <w:pPr>
        <w:numPr>
          <w:ilvl w:val="0"/>
          <w:numId w:val="9"/>
        </w:numPr>
        <w:spacing w:line="360" w:before="105" w:after="105" w:lineRule="auto"/>
      </w:pPr>
      <w:r>
        <w:rPr>
          <w:rFonts w:eastAsia="inter" w:cs="inter" w:ascii="inter" w:hAnsi="inter"/>
          <w:color w:val="000000"/>
          <w:sz w:val="21"/>
        </w:rPr>
        <w:t xml:space="preserve">Environmental factors (accessibility, affordability, convenience)</w:t>
      </w:r>
    </w:p>
    <w:p>
      <w:pPr>
        <w:numPr>
          <w:ilvl w:val="0"/>
          <w:numId w:val="9"/>
        </w:numPr>
        <w:spacing w:line="360" w:before="105" w:after="105" w:lineRule="auto"/>
      </w:pPr>
      <w:r>
        <w:rPr>
          <w:rFonts w:eastAsia="inter" w:cs="inter" w:ascii="inter" w:hAnsi="inter"/>
          <w:color w:val="000000"/>
          <w:sz w:val="21"/>
        </w:rPr>
        <w:t xml:space="preserve">Emotional triggers (stress, depression, comfort eating)</w:t>
      </w:r>
    </w:p>
    <w:p>
      <w:pPr>
        <w:spacing w:line="360" w:after="210" w:lineRule="auto"/>
      </w:pPr>
      <w:r>
        <w:rPr>
          <w:rFonts w:eastAsia="inter" w:cs="inter" w:ascii="inter" w:hAnsi="inter"/>
          <w:color w:val="000000"/>
        </w:rPr>
        <w:t xml:space="preserve">By systematically analyzing self-reported reasons for weight gain through qualitative thematic analysis and exploring associations with other variables, your research can make a valuable contribution to understanding the complex factors that influence weight trajectories. The rich methodological approaches in the literature provide templates for rigorous analysis of your free-text data.</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3" w:name="fn1"/>
    <w:bookmarkEnd w:id="23"/>
    <w:p>
      <w:pPr>
        <w:numPr>
          <w:ilvl w:val="0"/>
          <w:numId w:val="11"/>
        </w:numPr>
        <w:spacing w:line="360" w:after="210" w:lineRule="auto"/>
      </w:pPr>
      <w:hyperlink r:id="rId6">
        <w:r>
          <w:rPr>
            <w:rFonts w:eastAsia="inter" w:cs="inter" w:ascii="inter" w:hAnsi="inter"/>
            <w:color w:val="#000"/>
            <w:sz w:val="18"/>
            <w:u w:val="single"/>
          </w:rPr>
          <w:t xml:space="preserve">https://pubmed.ncbi.nlm.nih.gov/39789891/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 w:name="fn2"/>
    <w:bookmarkEnd w:id="24"/>
    <w:p>
      <w:pPr>
        <w:numPr>
          <w:ilvl w:val="0"/>
          <w:numId w:val="11"/>
        </w:numPr>
        <w:spacing w:line="360" w:after="210" w:lineRule="auto"/>
      </w:pPr>
      <w:hyperlink r:id="rId7">
        <w:r>
          <w:rPr>
            <w:rFonts w:eastAsia="inter" w:cs="inter" w:ascii="inter" w:hAnsi="inter"/>
            <w:color w:val="#000"/>
            <w:sz w:val="18"/>
            <w:u w:val="single"/>
          </w:rPr>
          <w:t xml:space="preserve">https://www.ncbi.nlm.nih.gov/pmc/articles/PMC8921754/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 w:name="fn3"/>
    <w:bookmarkEnd w:id="25"/>
    <w:p>
      <w:pPr>
        <w:numPr>
          <w:ilvl w:val="0"/>
          <w:numId w:val="11"/>
        </w:numPr>
        <w:spacing w:line="360" w:after="210" w:lineRule="auto"/>
      </w:pPr>
      <w:hyperlink r:id="rId8">
        <w:r>
          <w:rPr>
            <w:rFonts w:eastAsia="inter" w:cs="inter" w:ascii="inter" w:hAnsi="inter"/>
            <w:color w:val="#000"/>
            <w:sz w:val="18"/>
            <w:u w:val="single"/>
          </w:rPr>
          <w:t xml:space="preserve">https://pubmed.ncbi.nlm.nih.gov/24628569/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 w:name="fn4"/>
    <w:bookmarkEnd w:id="26"/>
    <w:p>
      <w:pPr>
        <w:numPr>
          <w:ilvl w:val="0"/>
          <w:numId w:val="11"/>
        </w:numPr>
        <w:spacing w:line="360" w:after="210" w:lineRule="auto"/>
      </w:pPr>
      <w:hyperlink r:id="rId9">
        <w:r>
          <w:rPr>
            <w:rFonts w:eastAsia="inter" w:cs="inter" w:ascii="inter" w:hAnsi="inter"/>
            <w:color w:val="#000"/>
            <w:sz w:val="18"/>
            <w:u w:val="single"/>
          </w:rPr>
          <w:t xml:space="preserve">https://www.ncbi.nlm.nih.gov/pmc/articles/PMC4371555/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 w:name="fn5"/>
    <w:bookmarkEnd w:id="27"/>
    <w:p>
      <w:pPr>
        <w:numPr>
          <w:ilvl w:val="0"/>
          <w:numId w:val="11"/>
        </w:numPr>
        <w:spacing w:line="360" w:after="210" w:lineRule="auto"/>
      </w:pPr>
      <w:hyperlink r:id="rId10">
        <w:r>
          <w:rPr>
            <w:rFonts w:eastAsia="inter" w:cs="inter" w:ascii="inter" w:hAnsi="inter"/>
            <w:color w:val="#000"/>
            <w:sz w:val="18"/>
            <w:u w:val="single"/>
          </w:rPr>
          <w:t xml:space="preserve">https://pubmed.ncbi.nlm.nih.gov/23377737/</w:t>
        </w:r>
      </w:hyperlink>
      <w:r>
        <w:rPr>
          <w:rFonts w:eastAsia="inter" w:cs="inter" w:ascii="inter" w:hAnsi="inter"/>
          <w:color w:val="000000"/>
          <w:sz w:val="18"/>
        </w:rPr>
        <w:t xml:space="preserve"> </w:t>
      </w:r>
    </w:p>
    <w:bookmarkStart w:id="28" w:name="fn6"/>
    <w:bookmarkEnd w:id="28"/>
    <w:p>
      <w:pPr>
        <w:numPr>
          <w:ilvl w:val="0"/>
          <w:numId w:val="11"/>
        </w:numPr>
        <w:spacing w:line="360" w:after="210" w:lineRule="auto"/>
      </w:pPr>
      <w:hyperlink r:id="rId11">
        <w:r>
          <w:rPr>
            <w:rFonts w:eastAsia="inter" w:cs="inter" w:ascii="inter" w:hAnsi="inter"/>
            <w:color w:val="#000"/>
            <w:sz w:val="18"/>
            <w:u w:val="single"/>
          </w:rPr>
          <w:t xml:space="preserve">https://pubmed.ncbi.nlm.nih.gov/20821738/</w:t>
        </w:r>
      </w:hyperlink>
      <w:r>
        <w:rPr>
          <w:rFonts w:eastAsia="inter" w:cs="inter" w:ascii="inter" w:hAnsi="inter"/>
          <w:color w:val="000000"/>
          <w:sz w:val="18"/>
        </w:rPr>
        <w:t xml:space="preserve"> </w:t>
      </w:r>
    </w:p>
    <w:bookmarkStart w:id="29" w:name="fn7"/>
    <w:bookmarkEnd w:id="29"/>
    <w:p>
      <w:pPr>
        <w:numPr>
          <w:ilvl w:val="0"/>
          <w:numId w:val="11"/>
        </w:numPr>
        <w:spacing w:line="360" w:after="210" w:lineRule="auto"/>
      </w:pPr>
      <w:hyperlink r:id="rId12">
        <w:r>
          <w:rPr>
            <w:rFonts w:eastAsia="inter" w:cs="inter" w:ascii="inter" w:hAnsi="inter"/>
            <w:color w:val="#000"/>
            <w:sz w:val="18"/>
            <w:u w:val="single"/>
          </w:rPr>
          <w:t xml:space="preserve">https://www.ncbi.nlm.nih.gov/pmc/articles/PMC9964095/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 w:name="fn8"/>
    <w:bookmarkEnd w:id="30"/>
    <w:p>
      <w:pPr>
        <w:numPr>
          <w:ilvl w:val="0"/>
          <w:numId w:val="11"/>
        </w:numPr>
        <w:spacing w:line="360" w:after="210" w:lineRule="auto"/>
      </w:pPr>
      <w:hyperlink r:id="rId13">
        <w:r>
          <w:rPr>
            <w:rFonts w:eastAsia="inter" w:cs="inter" w:ascii="inter" w:hAnsi="inter"/>
            <w:color w:val="#000"/>
            <w:sz w:val="18"/>
            <w:u w:val="single"/>
          </w:rPr>
          <w:t xml:space="preserve">https://www.ncbi.nlm.nih.gov/pmc/articles/PMC9046544/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 w:name="fn9"/>
    <w:bookmarkEnd w:id="31"/>
    <w:p>
      <w:pPr>
        <w:numPr>
          <w:ilvl w:val="0"/>
          <w:numId w:val="11"/>
        </w:numPr>
        <w:spacing w:line="360" w:after="210" w:lineRule="auto"/>
      </w:pPr>
      <w:hyperlink r:id="rId14">
        <w:r>
          <w:rPr>
            <w:rFonts w:eastAsia="inter" w:cs="inter" w:ascii="inter" w:hAnsi="inter"/>
            <w:color w:val="#000"/>
            <w:sz w:val="18"/>
            <w:u w:val="single"/>
          </w:rPr>
          <w:t xml:space="preserve">https://pubmed.ncbi.nlm.nih.gov/25403251/</w:t>
        </w:r>
      </w:hyperlink>
      <w:r>
        <w:rPr>
          <w:rFonts w:eastAsia="inter" w:cs="inter" w:ascii="inter" w:hAnsi="inter"/>
          <w:color w:val="000000"/>
          <w:sz w:val="18"/>
        </w:rPr>
        <w:t xml:space="preserve"> </w:t>
      </w:r>
    </w:p>
    <w:bookmarkStart w:id="32" w:name="fn10"/>
    <w:bookmarkEnd w:id="32"/>
    <w:p>
      <w:pPr>
        <w:numPr>
          <w:ilvl w:val="0"/>
          <w:numId w:val="11"/>
        </w:numPr>
        <w:spacing w:line="360" w:after="210" w:lineRule="auto"/>
      </w:pPr>
      <w:hyperlink r:id="rId15">
        <w:r>
          <w:rPr>
            <w:rFonts w:eastAsia="inter" w:cs="inter" w:ascii="inter" w:hAnsi="inter"/>
            <w:color w:val="#000"/>
            <w:sz w:val="18"/>
            <w:u w:val="single"/>
          </w:rPr>
          <w:t xml:space="preserve">https://pubmed.ncbi.nlm.nih.gov/30710450/</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abstractNum>
  <w:abstractNum w:abstractNumId="1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78856fa048cd5dd64fe04db2d95c552dabdd324.png" TargetMode="Internal"/><Relationship Id="rId6" Type="http://schemas.openxmlformats.org/officeDocument/2006/relationships/hyperlink" Target="https://pubmed.ncbi.nlm.nih.gov/39789891/" TargetMode="External"/><Relationship Id="rId7" Type="http://schemas.openxmlformats.org/officeDocument/2006/relationships/hyperlink" Target="https://www.ncbi.nlm.nih.gov/pmc/articles/PMC8921754/" TargetMode="External"/><Relationship Id="rId8" Type="http://schemas.openxmlformats.org/officeDocument/2006/relationships/hyperlink" Target="https://pubmed.ncbi.nlm.nih.gov/24628569/" TargetMode="External"/><Relationship Id="rId9" Type="http://schemas.openxmlformats.org/officeDocument/2006/relationships/hyperlink" Target="https://www.ncbi.nlm.nih.gov/pmc/articles/PMC4371555/" TargetMode="External"/><Relationship Id="rId10" Type="http://schemas.openxmlformats.org/officeDocument/2006/relationships/hyperlink" Target="https://pubmed.ncbi.nlm.nih.gov/23377737/" TargetMode="External"/><Relationship Id="rId11" Type="http://schemas.openxmlformats.org/officeDocument/2006/relationships/hyperlink" Target="https://pubmed.ncbi.nlm.nih.gov/20821738/" TargetMode="External"/><Relationship Id="rId12" Type="http://schemas.openxmlformats.org/officeDocument/2006/relationships/hyperlink" Target="https://www.ncbi.nlm.nih.gov/pmc/articles/PMC9964095/" TargetMode="External"/><Relationship Id="rId13" Type="http://schemas.openxmlformats.org/officeDocument/2006/relationships/hyperlink" Target="https://www.ncbi.nlm.nih.gov/pmc/articles/PMC9046544/" TargetMode="External"/><Relationship Id="rId14" Type="http://schemas.openxmlformats.org/officeDocument/2006/relationships/hyperlink" Target="https://pubmed.ncbi.nlm.nih.gov/25403251/" TargetMode="External"/><Relationship Id="rId15" Type="http://schemas.openxmlformats.org/officeDocument/2006/relationships/hyperlink" Target="https://pubmed.ncbi.nlm.nih.gov/3071045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2025-04-21T19:39:43.467Z</dcterms:created>
  <dcterms:modified xsi:type="dcterms:W3CDTF">2025-04-21T19:39:43.467Z</dcterms:modified>
</cp:coreProperties>
</file>