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/>
      </w:pPr>
      <w:r>
        <w:t xml:space="preserve"/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E6E68"/>
          <w:sz w:val="19"/>
          <w:szCs w:val="19"/>
        </w:rPr>
        <w:t xml:space="preserve">TECHNICAL STANDARD</w:t>
      </w:r>
    </w:p>
    <w:p>
      <w:pPr>
        <w:spacing w:after="180"/>
      </w:pPr>
      <w:r>
        <w:rPr>
          <w:rFonts w:ascii="Georgia" w:cs="Georgia" w:eastAsia="Georgia" w:hAnsi="Georgia"/>
          <w:b/>
          <w:bCs/>
          <w:color w:val="1E2A2C"/>
          <w:sz w:val="50"/>
          <w:szCs w:val="50"/>
        </w:rPr>
        <w:t xml:space="preserve">AI Development Standard</w:t>
      </w:r>
    </w:p>
    <w:p>
      <w:pPr>
        <w:spacing w:after="480"/>
      </w:pPr>
      <w:r>
        <w:rPr>
          <w:rFonts w:ascii="Calibri" w:cs="Calibri" w:eastAsia="Calibri" w:hAnsi="Calibri"/>
          <w:i/>
          <w:iCs/>
          <w:color w:val="5C6B6B"/>
          <w:sz w:val="22"/>
          <w:szCs w:val="22"/>
        </w:rPr>
        <w:t xml:space="preserve">The single technical reference for building any AI tool inside the company, and the audit instrument used afterwards to certify it is compliant.</w:t>
      </w:r>
    </w:p>
    <w:tbl>
      <w:tblPr>
        <w:tblW w:type="dxa" w:w="8900"/>
        <w:tblBorders>
          <w:top w:val="single" w:color="C9C0AC" w:sz="4"/>
          <w:left w:val="single" w:color="C9C0AC" w:sz="4"/>
          <w:bottom w:val="single" w:color="C9C0AC" w:sz="4"/>
          <w:right w:val="single" w:color="C9C0AC" w:sz="4"/>
          <w:insideH w:val="single" w:color="C9C0AC" w:sz="3"/>
          <w:insideV w:val="single" w:color="C9C0AC" w:sz="3"/>
        </w:tblBorders>
      </w:tblPr>
      <w:tblGrid>
        <w:gridCol w:w="2100"/>
        <w:gridCol w:w="6800"/>
      </w:tblGrid>
      <w:tr>
        <w:tc>
          <w:tcPr>
            <w:tcW w:type="dxa" w:w="2100"/>
            <w:shd w:fill="EFEB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1E2A2C"/>
                <w:sz w:val="17"/>
                <w:szCs w:val="17"/>
              </w:rPr>
              <w:t xml:space="preserve">Applies to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Every person or team developing an AI tool or AI-assisted automation inside the company, on any platform.</w:t>
            </w:r>
          </w:p>
        </w:tc>
      </w:tr>
      <w:tr>
        <w:tc>
          <w:tcPr>
            <w:tcW w:type="dxa" w:w="2100"/>
            <w:shd w:fill="EFEB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1E2A2C"/>
                <w:sz w:val="17"/>
                <w:szCs w:val="17"/>
              </w:rPr>
              <w:t xml:space="preserve">Used for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Section 5 is the build standard — read it before and during development. Section 7 is the audit checklist — used afterwards to certify compliance.</w:t>
            </w:r>
          </w:p>
        </w:tc>
      </w:tr>
      <w:tr>
        <w:tc>
          <w:tcPr>
            <w:tcW w:type="dxa" w:w="2100"/>
            <w:shd w:fill="EFEB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1E2A2C"/>
                <w:sz w:val="17"/>
                <w:szCs w:val="17"/>
              </w:rPr>
              <w:t xml:space="preserve">Version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1.0 — 13 September 2026</w:t>
            </w:r>
          </w:p>
        </w:tc>
      </w:tr>
      <w:tr>
        <w:tc>
          <w:tcPr>
            <w:tcW w:type="dxa" w:w="2100"/>
            <w:shd w:fill="EFEB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1E2A2C"/>
                <w:sz w:val="17"/>
                <w:szCs w:val="17"/>
              </w:rPr>
              <w:t xml:space="preserve">Companion tool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AI Tools Governance Hub — the shared register referenced throughout as "the Hub record."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E68" w:sz="6" w:space="4"/>
        </w:pBdr>
        <w:spacing w:after="160" w:before="380"/>
      </w:pPr>
      <w:r>
        <w:rPr>
          <w:rFonts w:ascii="Georgia" w:cs="Georgia" w:eastAsia="Georgia" w:hAnsi="Georgia"/>
          <w:b/>
          <w:bCs/>
          <w:color w:val="1B4C48"/>
          <w:sz w:val="29"/>
          <w:szCs w:val="29"/>
        </w:rPr>
        <w:t xml:space="preserve">1. Purpose &amp; how to use this document</w:t>
      </w:r>
    </w:p>
    <w:p>
      <w:pPr>
        <w:spacing w:after="13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A2C"/>
          <w:sz w:val="20"/>
          <w:szCs w:val="20"/>
        </w:rPr>
        <w:t xml:space="preserve">Every team that builds an AI tool inside the company works from this standard. It defines exactly what "compliant" means at a technical level across seven required areas, so a tool built anywhere in the company reaches the same bar for security, integration, documentation and ownership.</w:t>
      </w:r>
    </w:p>
    <w:p>
      <w:pPr>
        <w:spacing w:after="13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A2C"/>
          <w:sz w:val="20"/>
          <w:szCs w:val="20"/>
        </w:rPr>
        <w:t xml:space="preserve">Use it in two directions: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E2A2C"/>
          <w:sz w:val="19"/>
          <w:szCs w:val="19"/>
        </w:rPr>
        <w:t xml:space="preserve">Before and during a build — Section 5 states the concrete technical requirements for each area; Section 6 sequences them into a build order.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E2A2C"/>
          <w:sz w:val="19"/>
          <w:szCs w:val="19"/>
        </w:rPr>
        <w:t xml:space="preserve">After a build, on a schedule — Section 7 turns the same requirements into a pass/fail audit checklist, used to certify a tool and re-certify it on the cadence set in Section 5.6.</w:t>
      </w:r>
    </w:p>
    <w:p>
      <w:pPr>
        <w:pStyle w:val="Heading1"/>
        <w:pBdr>
          <w:bottom w:val="single" w:color="2E6E68" w:sz="6" w:space="4"/>
        </w:pBdr>
        <w:spacing w:after="160" w:before="380"/>
      </w:pPr>
      <w:r>
        <w:rPr>
          <w:rFonts w:ascii="Georgia" w:cs="Georgia" w:eastAsia="Georgia" w:hAnsi="Georgia"/>
          <w:b/>
          <w:bCs/>
          <w:color w:val="1B4C48"/>
          <w:sz w:val="29"/>
          <w:szCs w:val="29"/>
        </w:rPr>
        <w:t xml:space="preserve">2. Definitions</w:t>
      </w:r>
    </w:p>
    <w:tbl>
      <w:tblPr>
        <w:tblW w:type="dxa" w:w="8900"/>
        <w:tblBorders>
          <w:top w:val="single" w:color="C9C0AC" w:sz="4"/>
          <w:left w:val="single" w:color="C9C0AC" w:sz="4"/>
          <w:bottom w:val="single" w:color="C9C0AC" w:sz="4"/>
          <w:right w:val="single" w:color="C9C0AC" w:sz="4"/>
          <w:insideH w:val="single" w:color="C9C0AC" w:sz="3"/>
          <w:insideV w:val="single" w:color="C9C0AC" w:sz="3"/>
        </w:tblBorders>
      </w:tblPr>
      <w:tblGrid>
        <w:gridCol w:w="2200"/>
        <w:gridCol w:w="6700"/>
      </w:tblGrid>
      <w:tr>
        <w:trPr>
          <w:tblHeader/>
        </w:trPr>
        <w:tc>
          <w:tcPr>
            <w:tcW w:type="dxa" w:w="2200"/>
            <w:shd w:fill="1B4C4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Term</w:t>
            </w:r>
          </w:p>
        </w:tc>
        <w:tc>
          <w:tcPr>
            <w:tcW w:type="dxa" w:w="6700"/>
            <w:shd w:fill="1B4C4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Definition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1E2A2C"/>
                <w:sz w:val="17"/>
                <w:szCs w:val="17"/>
              </w:rPr>
              <w:t xml:space="preserve">Tool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8"/>
                <w:szCs w:val="18"/>
              </w:rPr>
              <w:t xml:space="preserve">Any internally-developed AI model, AI-assisted automation, or AI-integrated feature, regardless of platform (custom code, RPA, low-code, third-party model).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1E2A2C"/>
                <w:sz w:val="17"/>
                <w:szCs w:val="17"/>
              </w:rPr>
              <w:t xml:space="preserve">Business owner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8"/>
                <w:szCs w:val="18"/>
              </w:rPr>
              <w:t xml:space="preserve">Accountable for the tool's value and the decision to keep, change or retire it.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1E2A2C"/>
                <w:sz w:val="17"/>
                <w:szCs w:val="17"/>
              </w:rPr>
              <w:t xml:space="preserve">Technical owner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8"/>
                <w:szCs w:val="18"/>
              </w:rPr>
              <w:t xml:space="preserve">Accountable for maintenance, security remediation and documentation currency.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1E2A2C"/>
                <w:sz w:val="17"/>
                <w:szCs w:val="17"/>
              </w:rPr>
              <w:t xml:space="preserve">Hub / Hub record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8"/>
                <w:szCs w:val="18"/>
              </w:rPr>
              <w:t xml:space="preserve">The AI Tools Governance Hub — the shared register holding one record per tool against this standard.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1E2A2C"/>
                <w:sz w:val="17"/>
                <w:szCs w:val="17"/>
              </w:rPr>
              <w:t xml:space="preserve">Risk tier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8"/>
                <w:szCs w:val="18"/>
              </w:rPr>
              <w:t xml:space="preserve">High / Medium / Low classification (Section 4) that sets a tool's review cadence and testing depth.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1E2A2C"/>
                <w:sz w:val="17"/>
                <w:szCs w:val="17"/>
              </w:rPr>
              <w:t xml:space="preserve">Certified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8"/>
                <w:szCs w:val="18"/>
              </w:rPr>
              <w:t xml:space="preserve">A tool whose audit (Section 7) shows every applicable requirement as Pass, recorded with a date and a tier-based validity.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1E2A2C"/>
                <w:sz w:val="17"/>
                <w:szCs w:val="17"/>
              </w:rPr>
              <w:t xml:space="preserve">Go-live gate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8"/>
                <w:szCs w:val="18"/>
              </w:rPr>
              <w:t xml:space="preserve">A requirement that must be Pass before a tool is released to users, not only before its next scheduled review.</w:t>
            </w:r>
          </w:p>
        </w:tc>
      </w:tr>
    </w:tbl>
    <w:p>
      <w:pPr>
        <w:pStyle w:val="Heading1"/>
        <w:pBdr>
          <w:bottom w:val="single" w:color="2E6E68" w:sz="6" w:space="4"/>
        </w:pBdr>
        <w:spacing w:after="160" w:before="380"/>
      </w:pPr>
      <w:r>
        <w:rPr>
          <w:rFonts w:ascii="Georgia" w:cs="Georgia" w:eastAsia="Georgia" w:hAnsi="Georgia"/>
          <w:b/>
          <w:bCs/>
          <w:color w:val="1B4C48"/>
          <w:sz w:val="29"/>
          <w:szCs w:val="29"/>
        </w:rPr>
        <w:t xml:space="preserve">3. Scope &amp; applicability</w:t>
      </w:r>
    </w:p>
    <w:p>
      <w:pPr>
        <w:spacing w:after="13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A2C"/>
          <w:sz w:val="20"/>
          <w:szCs w:val="20"/>
        </w:rPr>
        <w:t xml:space="preserve">This standard applies to every AI tool or AI-assisted automation developed internally, across all company projects — in production, in pilot, or still in business use even if development has stopped. The RPA / utility hub (Section 5.7) is one registration point this standard requires, not its boundary: a tool built entirely outside the RPA platform is fully in scope.</w:t>
      </w:r>
    </w:p>
    <w:p>
      <w:pPr>
        <w:pStyle w:val="Heading1"/>
        <w:pBdr>
          <w:bottom w:val="single" w:color="2E6E68" w:sz="6" w:space="4"/>
        </w:pBdr>
        <w:spacing w:after="160" w:before="380"/>
      </w:pPr>
      <w:r>
        <w:rPr>
          <w:rFonts w:ascii="Georgia" w:cs="Georgia" w:eastAsia="Georgia" w:hAnsi="Georgia"/>
          <w:b/>
          <w:bCs/>
          <w:color w:val="1B4C48"/>
          <w:sz w:val="29"/>
          <w:szCs w:val="29"/>
        </w:rPr>
        <w:t xml:space="preserve">4. Risk tiering</w:t>
      </w:r>
    </w:p>
    <w:p>
      <w:pPr>
        <w:spacing w:after="13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A2C"/>
          <w:sz w:val="20"/>
          <w:szCs w:val="20"/>
        </w:rPr>
        <w:t xml:space="preserve">Every tool is classified once, at Phase A of Section 6, and re-classified whenever its data or function changes materially. The tier drives the review cadence and testing depth required in Section 5.1 and 5.6.</w:t>
      </w:r>
    </w:p>
    <w:tbl>
      <w:tblPr>
        <w:tblW w:type="dxa" w:w="8900"/>
        <w:tblBorders>
          <w:top w:val="single" w:color="C9C0AC" w:sz="4"/>
          <w:left w:val="single" w:color="C9C0AC" w:sz="4"/>
          <w:bottom w:val="single" w:color="C9C0AC" w:sz="4"/>
          <w:right w:val="single" w:color="C9C0AC" w:sz="4"/>
          <w:insideH w:val="single" w:color="C9C0AC" w:sz="3"/>
          <w:insideV w:val="single" w:color="C9C0AC" w:sz="3"/>
        </w:tblBorders>
      </w:tblPr>
      <w:tblGrid>
        <w:gridCol w:w="1300"/>
        <w:gridCol w:w="4300"/>
        <w:gridCol w:w="1600"/>
        <w:gridCol w:w="1700"/>
      </w:tblGrid>
      <w:tr>
        <w:trPr>
          <w:tblHeader/>
        </w:trPr>
        <w:tc>
          <w:tcPr>
            <w:tcW w:type="dxa" w:w="1300"/>
            <w:shd w:fill="1B4C4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Tier</w:t>
            </w:r>
          </w:p>
        </w:tc>
        <w:tc>
          <w:tcPr>
            <w:tcW w:type="dxa" w:w="4300"/>
            <w:shd w:fill="1B4C4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Criteria (any one applies)</w:t>
            </w:r>
          </w:p>
        </w:tc>
        <w:tc>
          <w:tcPr>
            <w:tcW w:type="dxa" w:w="1600"/>
            <w:shd w:fill="1B4C4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Review cadence</w:t>
            </w:r>
          </w:p>
        </w:tc>
        <w:tc>
          <w:tcPr>
            <w:tcW w:type="dxa" w:w="1700"/>
            <w:shd w:fill="1B4C4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Security testing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B23A3A"/>
                <w:sz w:val="17"/>
                <w:szCs w:val="17"/>
              </w:rPr>
              <w:t xml:space="preserve">High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Processes personal, financial or health data; makes or materially influences customer-facing or financial/legal decisions; can act autonomously (write, pay, send) without a human step.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Quarterly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Vulnerability scan + penetration test before go-live and annually.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A9701F"/>
                <w:sz w:val="17"/>
                <w:szCs w:val="17"/>
              </w:rPr>
              <w:t xml:space="preserve">Medium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Uses internal/employee data; assists a decision a human still makes; moderate usage across a team or department.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6 months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Vulnerability scan before go-live and at each review.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2E7D4F"/>
                <w:sz w:val="17"/>
                <w:szCs w:val="17"/>
              </w:rPr>
              <w:t xml:space="preserve">Low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No sensitive data; internal productivity aid; every output is reviewed by a person before any action is taken.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12 months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Vulnerability scan before go-live.</w:t>
            </w:r>
          </w:p>
        </w:tc>
      </w:tr>
    </w:tbl>
    <w:p>
      <w:pPr>
        <w:pStyle w:val="Heading1"/>
        <w:pBdr>
          <w:bottom w:val="single" w:color="2E6E68" w:sz="6" w:space="4"/>
        </w:pBdr>
        <w:spacing w:after="160" w:before="380"/>
      </w:pPr>
      <w:r>
        <w:rPr>
          <w:rFonts w:ascii="Georgia" w:cs="Georgia" w:eastAsia="Georgia" w:hAnsi="Georgia"/>
          <w:b/>
          <w:bCs/>
          <w:color w:val="1B4C48"/>
          <w:sz w:val="29"/>
          <w:szCs w:val="29"/>
        </w:rPr>
        <w:t xml:space="preserve">5. Technical requirements</w:t>
      </w:r>
    </w:p>
    <w:p>
      <w:pPr>
        <w:spacing w:after="13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A2C"/>
          <w:sz w:val="20"/>
          <w:szCs w:val="20"/>
        </w:rPr>
        <w:t xml:space="preserve">The seven areas every tool's Hub record must satisfy. Each list below is the technical bar this standard sets — and, unchanged, the checklist used to audit it in Section 7.</w:t>
      </w:r>
    </w:p>
    <w:p>
      <w:pPr>
        <w:pStyle w:val="Heading2"/>
        <w:spacing w:after="90" w:before="280"/>
      </w:pPr>
      <w:r>
        <w:rPr>
          <w:rFonts w:ascii="Georgia" w:cs="Georgia" w:eastAsia="Georgia" w:hAnsi="Georgia"/>
          <w:b/>
          <w:bCs/>
          <w:color w:val="1E2A2C"/>
          <w:sz w:val="23"/>
          <w:szCs w:val="23"/>
        </w:rPr>
        <w:t xml:space="preserve">5.1 Security &amp; cyber approval</w:t>
      </w:r>
    </w:p>
    <w:p>
      <w:pPr>
        <w:spacing w:after="80" w:line="290"/>
      </w:pPr>
      <w:r>
        <w:rPr>
          <w:rFonts w:ascii="Calibri" w:cs="Calibri" w:eastAsia="Calibri" w:hAnsi="Calibri"/>
          <w:b w:val="false"/>
          <w:bCs w:val="false"/>
          <w:i/>
          <w:iCs/>
          <w:color w:val="5C6B6B"/>
          <w:sz w:val="20"/>
          <w:szCs w:val="20"/>
        </w:rPr>
        <w:t xml:space="preserve">No tool processes data or reaches users before its risk has been assessed by the security/cyber function and formally recorded.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E2A2C"/>
          <w:sz w:val="19"/>
          <w:szCs w:val="19"/>
        </w:rPr>
        <w:t xml:space="preserve">Data classification assigned: Public / Internal / Confidential / Restricted.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E2A2C"/>
          <w:sz w:val="19"/>
          <w:szCs w:val="19"/>
        </w:rPr>
        <w:t xml:space="preserve">Authentication via company SSO / OAuth2; no hardcoded credentials or personal API keys in code or config.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E2A2C"/>
          <w:sz w:val="19"/>
          <w:szCs w:val="19"/>
        </w:rPr>
        <w:t xml:space="preserve">Secrets (API keys, connection strings, model keys) stored in the company secrets vault, never in source control.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E2A2C"/>
          <w:sz w:val="19"/>
          <w:szCs w:val="19"/>
        </w:rPr>
        <w:t xml:space="preserve">TLS 1.2+ enforced in transit; encryption at rest for any data the tool stores or caches.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E2A2C"/>
          <w:sz w:val="19"/>
          <w:szCs w:val="19"/>
        </w:rPr>
        <w:t xml:space="preserve">Third-party AI/model provider reviewed for data residency, retention, and a signed data processing agreement where personal data leaves the company.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E2A2C"/>
          <w:sz w:val="19"/>
          <w:szCs w:val="19"/>
        </w:rPr>
        <w:t xml:space="preserve">Prompt-injection and data-leakage risk explicitly assessed for any generative / LLM-based component.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E2A2C"/>
          <w:sz w:val="19"/>
          <w:szCs w:val="19"/>
        </w:rPr>
        <w:t xml:space="preserve">Access and usage logging enabled and retained for at least 12 months.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E2A2C"/>
          <w:sz w:val="19"/>
          <w:szCs w:val="19"/>
        </w:rPr>
        <w:t xml:space="preserve">Dependency and vulnerability scan completed before go-live.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E2A2C"/>
          <w:sz w:val="19"/>
          <w:szCs w:val="19"/>
        </w:rPr>
        <w:t xml:space="preserve">Penetration test completed before go-live for High-risk tools (Section 4), and annually thereafter.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E2A2C"/>
          <w:sz w:val="19"/>
          <w:szCs w:val="19"/>
        </w:rPr>
        <w:t xml:space="preserve">Written approval recorded in the Hub record: approver, risk tier, approval date, expiry date.</w:t>
      </w:r>
    </w:p>
    <w:p>
      <w:pPr>
        <w:pStyle w:val="Heading2"/>
        <w:spacing w:after="90" w:before="280"/>
      </w:pPr>
      <w:r>
        <w:rPr>
          <w:rFonts w:ascii="Georgia" w:cs="Georgia" w:eastAsia="Georgia" w:hAnsi="Georgia"/>
          <w:b/>
          <w:bCs/>
          <w:color w:val="1E2A2C"/>
          <w:sz w:val="23"/>
          <w:szCs w:val="23"/>
        </w:rPr>
        <w:t xml:space="preserve">5.2 Shared data architecture &amp; integration</w:t>
      </w:r>
    </w:p>
    <w:p>
      <w:pPr>
        <w:spacing w:after="80" w:line="290"/>
      </w:pPr>
      <w:r>
        <w:rPr>
          <w:rFonts w:ascii="Calibri" w:cs="Calibri" w:eastAsia="Calibri" w:hAnsi="Calibri"/>
          <w:b w:val="false"/>
          <w:bCs w:val="false"/>
          <w:i/>
          <w:iCs/>
          <w:color w:val="5C6B6B"/>
          <w:sz w:val="20"/>
          <w:szCs w:val="20"/>
        </w:rPr>
        <w:t xml:space="preserve">A tool's data design is reviewed for reuse and integration before a single new table or store is created.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E2A2C"/>
          <w:sz w:val="19"/>
          <w:szCs w:val="19"/>
        </w:rPr>
        <w:t xml:space="preserve">Data store choice documented, and checked against existing shared platforms/schemas before a new store is created.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E2A2C"/>
          <w:sz w:val="19"/>
          <w:szCs w:val="19"/>
        </w:rPr>
        <w:t xml:space="preserve">Schema or data dictionary published and linked from the Hub record.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E2A2C"/>
          <w:sz w:val="19"/>
          <w:szCs w:val="19"/>
        </w:rPr>
        <w:t xml:space="preserve">Any data other tools might need is exposed through a documented API or event stream — never a private, undocumented point-to-point link.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E2A2C"/>
          <w:sz w:val="19"/>
          <w:szCs w:val="19"/>
        </w:rPr>
        <w:t xml:space="preserve">API versioning and deprecation policy defined for any interface the tool exposes.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E2A2C"/>
          <w:sz w:val="19"/>
          <w:szCs w:val="19"/>
        </w:rPr>
        <w:t xml:space="preserve">Data contract documented: request/response schema and availability expectation (SLA).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E2A2C"/>
          <w:sz w:val="19"/>
          <w:szCs w:val="19"/>
        </w:rPr>
        <w:t xml:space="preserve">Data retention and deletion policy defined and implemented.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E2A2C"/>
          <w:sz w:val="19"/>
          <w:szCs w:val="19"/>
        </w:rPr>
        <w:t xml:space="preserve">Naming follows the company's data and service naming convention.</w:t>
      </w:r>
    </w:p>
    <w:p>
      <w:pPr>
        <w:pStyle w:val="Heading2"/>
        <w:spacing w:after="90" w:before="280"/>
      </w:pPr>
      <w:r>
        <w:rPr>
          <w:rFonts w:ascii="Georgia" w:cs="Georgia" w:eastAsia="Georgia" w:hAnsi="Georgia"/>
          <w:b/>
          <w:bCs/>
          <w:color w:val="1E2A2C"/>
          <w:sz w:val="23"/>
          <w:szCs w:val="23"/>
        </w:rPr>
        <w:t xml:space="preserve">5.3 Process wiki &amp; technical documentation</w:t>
      </w:r>
    </w:p>
    <w:p>
      <w:pPr>
        <w:spacing w:after="80" w:line="290"/>
      </w:pPr>
      <w:r>
        <w:rPr>
          <w:rFonts w:ascii="Calibri" w:cs="Calibri" w:eastAsia="Calibri" w:hAnsi="Calibri"/>
          <w:b w:val="false"/>
          <w:bCs w:val="false"/>
          <w:i/>
          <w:iCs/>
          <w:color w:val="5C6B6B"/>
          <w:sz w:val="20"/>
          <w:szCs w:val="20"/>
        </w:rPr>
        <w:t xml:space="preserve">Documentation is built alongside the tool, not reconstructed after the fact — this is what lets someone else operate or inherit it.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E2A2C"/>
          <w:sz w:val="19"/>
          <w:szCs w:val="19"/>
        </w:rPr>
        <w:t xml:space="preserve">Overview and architecture diagram published.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E2A2C"/>
          <w:sz w:val="19"/>
          <w:szCs w:val="19"/>
        </w:rPr>
        <w:t xml:space="preserve">Data-flow diagram published, covering inputs, processing, and outputs.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E2A2C"/>
          <w:sz w:val="19"/>
          <w:szCs w:val="19"/>
        </w:rPr>
        <w:t xml:space="preserve">Runbook covering deployment, rollback, and on-call escalation published.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E2A2C"/>
          <w:sz w:val="19"/>
          <w:szCs w:val="19"/>
        </w:rPr>
        <w:t xml:space="preserve">Exception-handling and manual fallback procedure documented.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E2A2C"/>
          <w:sz w:val="19"/>
          <w:szCs w:val="19"/>
        </w:rPr>
        <w:t xml:space="preserve">Model / prompt version log maintained for any generative component.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E2A2C"/>
          <w:sz w:val="19"/>
          <w:szCs w:val="19"/>
        </w:rPr>
        <w:t xml:space="preserve">Documentation hosted on the company wiki and linked from the Hub record.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E2A2C"/>
          <w:sz w:val="19"/>
          <w:szCs w:val="19"/>
        </w:rPr>
        <w:t xml:space="preserve">Technical owner updates documentation at every material change, not only at audit time.</w:t>
      </w:r>
    </w:p>
    <w:p>
      <w:pPr>
        <w:pStyle w:val="Heading2"/>
        <w:spacing w:after="90" w:before="280"/>
      </w:pPr>
      <w:r>
        <w:rPr>
          <w:rFonts w:ascii="Georgia" w:cs="Georgia" w:eastAsia="Georgia" w:hAnsi="Georgia"/>
          <w:b/>
          <w:bCs/>
          <w:color w:val="1E2A2C"/>
          <w:sz w:val="23"/>
          <w:szCs w:val="23"/>
        </w:rPr>
        <w:t xml:space="preserve">5.4 Scope &amp; problem statement</w:t>
      </w:r>
    </w:p>
    <w:p>
      <w:pPr>
        <w:spacing w:after="80" w:line="290"/>
      </w:pPr>
      <w:r>
        <w:rPr>
          <w:rFonts w:ascii="Calibri" w:cs="Calibri" w:eastAsia="Calibri" w:hAnsi="Calibri"/>
          <w:b w:val="false"/>
          <w:bCs w:val="false"/>
          <w:i/>
          <w:iCs/>
          <w:color w:val="5C6B6B"/>
          <w:sz w:val="20"/>
          <w:szCs w:val="20"/>
        </w:rPr>
        <w:t xml:space="preserve">Every tool starts from a written problem statement, not a build that finds its justification afterwards.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E2A2C"/>
          <w:sz w:val="19"/>
          <w:szCs w:val="19"/>
        </w:rPr>
        <w:t xml:space="preserve">Business problem statement completed using the standard template (Appendix C).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E2A2C"/>
          <w:sz w:val="19"/>
          <w:szCs w:val="19"/>
        </w:rPr>
        <w:t xml:space="preserve">Target users and expected usage volume defined.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E2A2C"/>
          <w:sz w:val="19"/>
          <w:szCs w:val="19"/>
        </w:rPr>
        <w:t xml:space="preserve">In-scope and out-of-scope explicitly listed.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E2A2C"/>
          <w:sz w:val="19"/>
          <w:szCs w:val="19"/>
        </w:rPr>
        <w:t xml:space="preserve">Success metric / KPI defined, with a baseline captured before go-live.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E2A2C"/>
          <w:sz w:val="19"/>
          <w:szCs w:val="19"/>
        </w:rPr>
        <w:t xml:space="preserve">Signed off by the business owner before build begins.</w:t>
      </w:r>
    </w:p>
    <w:p>
      <w:pPr>
        <w:pStyle w:val="Heading2"/>
        <w:spacing w:after="90" w:before="280"/>
      </w:pPr>
      <w:r>
        <w:rPr>
          <w:rFonts w:ascii="Georgia" w:cs="Georgia" w:eastAsia="Georgia" w:hAnsi="Georgia"/>
          <w:b/>
          <w:bCs/>
          <w:color w:val="1E2A2C"/>
          <w:sz w:val="23"/>
          <w:szCs w:val="23"/>
        </w:rPr>
        <w:t xml:space="preserve">5.5 Ownership</w:t>
      </w:r>
    </w:p>
    <w:p>
      <w:pPr>
        <w:spacing w:after="80" w:line="290"/>
      </w:pPr>
      <w:r>
        <w:rPr>
          <w:rFonts w:ascii="Calibri" w:cs="Calibri" w:eastAsia="Calibri" w:hAnsi="Calibri"/>
          <w:b w:val="false"/>
          <w:bCs w:val="false"/>
          <w:i/>
          <w:iCs/>
          <w:color w:val="5C6B6B"/>
          <w:sz w:val="20"/>
          <w:szCs w:val="20"/>
        </w:rPr>
        <w:t xml:space="preserve">A tool with no current, named owner is treated as non-compliant, regardless of how well it otherwise performs.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E2A2C"/>
          <w:sz w:val="19"/>
          <w:szCs w:val="19"/>
        </w:rPr>
        <w:t xml:space="preserve">Business owner and technical owner both named in the Hub record.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E2A2C"/>
          <w:sz w:val="19"/>
          <w:szCs w:val="19"/>
        </w:rPr>
        <w:t xml:space="preserve">RACI matrix completed for the tool (Appendix B).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E2A2C"/>
          <w:sz w:val="19"/>
          <w:szCs w:val="19"/>
        </w:rPr>
        <w:t xml:space="preserve">Ownership transferred within 5 business days of a role change or departure.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E2A2C"/>
          <w:sz w:val="19"/>
          <w:szCs w:val="19"/>
        </w:rPr>
        <w:t xml:space="preserve">No tool remains recorded to a person no longer in the role beyond the transfer SLA.</w:t>
      </w:r>
    </w:p>
    <w:p>
      <w:pPr>
        <w:pStyle w:val="Heading2"/>
        <w:spacing w:after="90" w:before="280"/>
      </w:pPr>
      <w:r>
        <w:rPr>
          <w:rFonts w:ascii="Georgia" w:cs="Georgia" w:eastAsia="Georgia" w:hAnsi="Georgia"/>
          <w:b/>
          <w:bCs/>
          <w:color w:val="1E2A2C"/>
          <w:sz w:val="23"/>
          <w:szCs w:val="23"/>
        </w:rPr>
        <w:t xml:space="preserve">5.6 Automatic review reminder</w:t>
      </w:r>
    </w:p>
    <w:p>
      <w:pPr>
        <w:spacing w:after="80" w:line="290"/>
      </w:pPr>
      <w:r>
        <w:rPr>
          <w:rFonts w:ascii="Calibri" w:cs="Calibri" w:eastAsia="Calibri" w:hAnsi="Calibri"/>
          <w:b w:val="false"/>
          <w:bCs w:val="false"/>
          <w:i/>
          <w:iCs/>
          <w:color w:val="5C6B6B"/>
          <w:sz w:val="20"/>
          <w:szCs w:val="20"/>
        </w:rPr>
        <w:t xml:space="preserve">Review cadence is set by risk, not left to memory, and covers both security and continued usefulness.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E2A2C"/>
          <w:sz w:val="19"/>
          <w:szCs w:val="19"/>
        </w:rPr>
        <w:t xml:space="preserve">Risk tier assigned — High / Medium / Low — per Section 4.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E2A2C"/>
          <w:sz w:val="19"/>
          <w:szCs w:val="19"/>
        </w:rPr>
        <w:t xml:space="preserve">Review cadence set accordingly: quarterly (High), 6 months (Medium), 12 months (Low).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E2A2C"/>
          <w:sz w:val="19"/>
          <w:szCs w:val="19"/>
        </w:rPr>
        <w:t xml:space="preserve">Reminder configured to notify the business owner, technical owner, and the security function.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E2A2C"/>
          <w:sz w:val="19"/>
          <w:szCs w:val="19"/>
        </w:rPr>
        <w:t xml:space="preserve">Each review re-assesses both cyber risk and whether the tool is still worth maintaining.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E2A2C"/>
          <w:sz w:val="19"/>
          <w:szCs w:val="19"/>
        </w:rPr>
        <w:t xml:space="preserve">A missed review automatically flags the tool non-compliant after a 30-day grace period.</w:t>
      </w:r>
    </w:p>
    <w:p>
      <w:pPr>
        <w:pStyle w:val="Heading2"/>
        <w:spacing w:after="90" w:before="280"/>
      </w:pPr>
      <w:r>
        <w:rPr>
          <w:rFonts w:ascii="Georgia" w:cs="Georgia" w:eastAsia="Georgia" w:hAnsi="Georgia"/>
          <w:b/>
          <w:bCs/>
          <w:color w:val="1E2A2C"/>
          <w:sz w:val="23"/>
          <w:szCs w:val="23"/>
        </w:rPr>
        <w:t xml:space="preserve">5.7 RPA / utility hub registration</w:t>
      </w:r>
    </w:p>
    <w:p>
      <w:pPr>
        <w:spacing w:after="80" w:line="290"/>
      </w:pPr>
      <w:r>
        <w:rPr>
          <w:rFonts w:ascii="Calibri" w:cs="Calibri" w:eastAsia="Calibri" w:hAnsi="Calibri"/>
          <w:b w:val="false"/>
          <w:bCs w:val="false"/>
          <w:i/>
          <w:iCs/>
          <w:color w:val="5C6B6B"/>
          <w:sz w:val="20"/>
          <w:szCs w:val="20"/>
        </w:rPr>
        <w:t xml:space="preserve">Usage and savings are visible centrally for every AI tool, whether or not it runs on the RPA platform.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E2A2C"/>
          <w:sz w:val="19"/>
          <w:szCs w:val="19"/>
        </w:rPr>
        <w:t xml:space="preserve">Tool registered in the central automation / utility hub, regardless of the platform it is built on.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E2A2C"/>
          <w:sz w:val="19"/>
          <w:szCs w:val="19"/>
        </w:rPr>
        <w:t xml:space="preserve">Usage volume tracked and reported.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E2A2C"/>
          <w:sz w:val="19"/>
          <w:szCs w:val="19"/>
        </w:rPr>
        <w:t xml:space="preserve">Time or cost savings estimated and recorded.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E2A2C"/>
          <w:sz w:val="19"/>
          <w:szCs w:val="19"/>
        </w:rPr>
        <w:t xml:space="preserve">Savings figure refreshed at least quarterly.</w:t>
      </w:r>
    </w:p>
    <w:p>
      <w:pPr>
        <w:pStyle w:val="Heading1"/>
        <w:pBdr>
          <w:bottom w:val="single" w:color="2E6E68" w:sz="6" w:space="4"/>
        </w:pBdr>
        <w:spacing w:after="160" w:before="380"/>
      </w:pPr>
      <w:r>
        <w:rPr>
          <w:rFonts w:ascii="Georgia" w:cs="Georgia" w:eastAsia="Georgia" w:hAnsi="Georgia"/>
          <w:b/>
          <w:bCs/>
          <w:color w:val="1B4C48"/>
          <w:sz w:val="29"/>
          <w:szCs w:val="29"/>
        </w:rPr>
        <w:t xml:space="preserve">6. Development lifecycle</w:t>
      </w:r>
    </w:p>
    <w:p>
      <w:pPr>
        <w:spacing w:after="13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A2C"/>
          <w:sz w:val="20"/>
          <w:szCs w:val="20"/>
        </w:rPr>
        <w:t xml:space="preserve">The build order every tool follows. Each step points back to the technical requirement it must satisfy; steps marked [GO-LIVE GATE] must be Pass before release.</w:t>
      </w:r>
    </w:p>
    <w:p>
      <w:pPr>
        <w:spacing w:after="50" w:before="160"/>
      </w:pPr>
      <w:r>
        <w:rPr>
          <w:rFonts w:ascii="Calibri" w:cs="Calibri" w:eastAsia="Calibri" w:hAnsi="Calibri"/>
          <w:b/>
          <w:bCs/>
          <w:color w:val="1B4C48"/>
          <w:sz w:val="19"/>
          <w:szCs w:val="19"/>
        </w:rPr>
        <w:t xml:space="preserve">Phase A — Initiate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rPr>
          <w:rFonts w:ascii="Calibri" w:cs="Calibri" w:eastAsia="Calibri" w:hAnsi="Calibri"/>
          <w:b/>
          <w:bCs/>
          <w:color w:val="1B4C48"/>
          <w:sz w:val="20"/>
          <w:szCs w:val="20"/>
        </w:rPr>
        <w:t xml:space="preserve">Define the problem — </w:t>
      </w:r>
      <w:r>
        <w:rPr>
          <w:rFonts w:ascii="Calibri" w:cs="Calibri" w:eastAsia="Calibri" w:hAnsi="Calibri"/>
          <w:color w:val="1E2A2C"/>
          <w:sz w:val="20"/>
          <w:szCs w:val="20"/>
        </w:rPr>
        <w:t xml:space="preserve">Complete the scope &amp; problem statement (Section 5.4).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rPr>
          <w:rFonts w:ascii="Calibri" w:cs="Calibri" w:eastAsia="Calibri" w:hAnsi="Calibri"/>
          <w:b/>
          <w:bCs/>
          <w:color w:val="1B4C48"/>
          <w:sz w:val="20"/>
          <w:szCs w:val="20"/>
        </w:rPr>
        <w:t xml:space="preserve">Assign owners — </w:t>
      </w:r>
      <w:r>
        <w:rPr>
          <w:rFonts w:ascii="Calibri" w:cs="Calibri" w:eastAsia="Calibri" w:hAnsi="Calibri"/>
          <w:color w:val="1E2A2C"/>
          <w:sz w:val="20"/>
          <w:szCs w:val="20"/>
        </w:rPr>
        <w:t xml:space="preserve">Name business and technical owners and complete the RACI (Section 5.5).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rPr>
          <w:rFonts w:ascii="Calibri" w:cs="Calibri" w:eastAsia="Calibri" w:hAnsi="Calibri"/>
          <w:b/>
          <w:bCs/>
          <w:color w:val="1B4C48"/>
          <w:sz w:val="20"/>
          <w:szCs w:val="20"/>
        </w:rPr>
        <w:t xml:space="preserve">Classify risk &amp; open the Hub record — </w:t>
      </w:r>
      <w:r>
        <w:rPr>
          <w:rFonts w:ascii="Calibri" w:cs="Calibri" w:eastAsia="Calibri" w:hAnsi="Calibri"/>
          <w:color w:val="1E2A2C"/>
          <w:sz w:val="20"/>
          <w:szCs w:val="20"/>
        </w:rPr>
        <w:t xml:space="preserve">Assign a risk tier (Section 4) and create the tool's Hub record.</w:t>
      </w:r>
    </w:p>
    <w:p>
      <w:pPr>
        <w:spacing w:after="50" w:before="160"/>
      </w:pPr>
      <w:r>
        <w:rPr>
          <w:rFonts w:ascii="Calibri" w:cs="Calibri" w:eastAsia="Calibri" w:hAnsi="Calibri"/>
          <w:b/>
          <w:bCs/>
          <w:color w:val="1B4C48"/>
          <w:sz w:val="19"/>
          <w:szCs w:val="19"/>
        </w:rPr>
        <w:t xml:space="preserve">Phase B — Design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rPr>
          <w:rFonts w:ascii="Calibri" w:cs="Calibri" w:eastAsia="Calibri" w:hAnsi="Calibri"/>
          <w:b/>
          <w:bCs/>
          <w:color w:val="1B4C48"/>
          <w:sz w:val="20"/>
          <w:szCs w:val="20"/>
        </w:rPr>
        <w:t xml:space="preserve">Design the data architecture — </w:t>
      </w:r>
      <w:r>
        <w:rPr>
          <w:rFonts w:ascii="Calibri" w:cs="Calibri" w:eastAsia="Calibri" w:hAnsi="Calibri"/>
          <w:color w:val="1E2A2C"/>
          <w:sz w:val="20"/>
          <w:szCs w:val="20"/>
        </w:rPr>
        <w:t xml:space="preserve">Apply the standards in Section 5.2 before any new store is created.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rPr>
          <w:rFonts w:ascii="Calibri" w:cs="Calibri" w:eastAsia="Calibri" w:hAnsi="Calibri"/>
          <w:b/>
          <w:bCs/>
          <w:color w:val="1B4C48"/>
          <w:sz w:val="20"/>
          <w:szCs w:val="20"/>
        </w:rPr>
        <w:t xml:space="preserve">Request the security review — </w:t>
      </w:r>
      <w:r>
        <w:rPr>
          <w:rFonts w:ascii="Calibri" w:cs="Calibri" w:eastAsia="Calibri" w:hAnsi="Calibri"/>
          <w:color w:val="1E2A2C"/>
          <w:sz w:val="20"/>
          <w:szCs w:val="20"/>
        </w:rPr>
        <w:t xml:space="preserve">Submit the design to the security/cyber function per Section 5.1.</w:t>
      </w:r>
    </w:p>
    <w:p>
      <w:pPr>
        <w:spacing w:after="50" w:before="160"/>
      </w:pPr>
      <w:r>
        <w:rPr>
          <w:rFonts w:ascii="Calibri" w:cs="Calibri" w:eastAsia="Calibri" w:hAnsi="Calibri"/>
          <w:b/>
          <w:bCs/>
          <w:color w:val="1B4C48"/>
          <w:sz w:val="19"/>
          <w:szCs w:val="19"/>
        </w:rPr>
        <w:t xml:space="preserve">Phase C — Build &amp; document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rPr>
          <w:rFonts w:ascii="Calibri" w:cs="Calibri" w:eastAsia="Calibri" w:hAnsi="Calibri"/>
          <w:b/>
          <w:bCs/>
          <w:color w:val="1B4C48"/>
          <w:sz w:val="20"/>
          <w:szCs w:val="20"/>
        </w:rPr>
        <w:t xml:space="preserve">Build and test — </w:t>
      </w:r>
      <w:r>
        <w:rPr>
          <w:rFonts w:ascii="Calibri" w:cs="Calibri" w:eastAsia="Calibri" w:hAnsi="Calibri"/>
          <w:color w:val="1E2A2C"/>
          <w:sz w:val="20"/>
          <w:szCs w:val="20"/>
        </w:rPr>
        <w:t xml:space="preserve">Develop against the approved scope; track functional and security test results.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rPr>
          <w:rFonts w:ascii="Calibri" w:cs="Calibri" w:eastAsia="Calibri" w:hAnsi="Calibri"/>
          <w:b/>
          <w:bCs/>
          <w:color w:val="1B4C48"/>
          <w:sz w:val="20"/>
          <w:szCs w:val="20"/>
        </w:rPr>
        <w:t xml:space="preserve">Write the technical documentation — </w:t>
      </w:r>
      <w:r>
        <w:rPr>
          <w:rFonts w:ascii="Calibri" w:cs="Calibri" w:eastAsia="Calibri" w:hAnsi="Calibri"/>
          <w:color w:val="1E2A2C"/>
          <w:sz w:val="20"/>
          <w:szCs w:val="20"/>
        </w:rPr>
        <w:t xml:space="preserve">Produce the full documentation set required in Section 5.3.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rPr>
          <w:rFonts w:ascii="Calibri" w:cs="Calibri" w:eastAsia="Calibri" w:hAnsi="Calibri"/>
          <w:b/>
          <w:bCs/>
          <w:color w:val="1B4C48"/>
          <w:sz w:val="20"/>
          <w:szCs w:val="20"/>
        </w:rPr>
        <w:t xml:space="preserve">Obtain security sign-off — </w:t>
      </w:r>
      <w:r>
        <w:rPr>
          <w:rFonts w:ascii="Calibri" w:cs="Calibri" w:eastAsia="Calibri" w:hAnsi="Calibri"/>
          <w:color w:val="1E2A2C"/>
          <w:sz w:val="20"/>
          <w:szCs w:val="20"/>
        </w:rPr>
        <w:t xml:space="preserve">Close the review from Phase B and record approval per Section 5.1. [GO-LIVE GATE]</w:t>
      </w:r>
    </w:p>
    <w:p>
      <w:pPr>
        <w:spacing w:after="50" w:before="160"/>
      </w:pPr>
      <w:r>
        <w:rPr>
          <w:rFonts w:ascii="Calibri" w:cs="Calibri" w:eastAsia="Calibri" w:hAnsi="Calibri"/>
          <w:b/>
          <w:bCs/>
          <w:color w:val="1B4C48"/>
          <w:sz w:val="19"/>
          <w:szCs w:val="19"/>
        </w:rPr>
        <w:t xml:space="preserve">Phase D — Go live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rPr>
          <w:rFonts w:ascii="Calibri" w:cs="Calibri" w:eastAsia="Calibri" w:hAnsi="Calibri"/>
          <w:b/>
          <w:bCs/>
          <w:color w:val="1B4C48"/>
          <w:sz w:val="20"/>
          <w:szCs w:val="20"/>
        </w:rPr>
        <w:t xml:space="preserve">Set the review cadence — </w:t>
      </w:r>
      <w:r>
        <w:rPr>
          <w:rFonts w:ascii="Calibri" w:cs="Calibri" w:eastAsia="Calibri" w:hAnsi="Calibri"/>
          <w:color w:val="1E2A2C"/>
          <w:sz w:val="20"/>
          <w:szCs w:val="20"/>
        </w:rPr>
        <w:t xml:space="preserve">Configure the automatic reminder per the tier set in Phase A. [GO-LIVE GATE]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rPr>
          <w:rFonts w:ascii="Calibri" w:cs="Calibri" w:eastAsia="Calibri" w:hAnsi="Calibri"/>
          <w:b/>
          <w:bCs/>
          <w:color w:val="1B4C48"/>
          <w:sz w:val="20"/>
          <w:szCs w:val="20"/>
        </w:rPr>
        <w:t xml:space="preserve">Register in the RPA / utility hub — </w:t>
      </w:r>
      <w:r>
        <w:rPr>
          <w:rFonts w:ascii="Calibri" w:cs="Calibri" w:eastAsia="Calibri" w:hAnsi="Calibri"/>
          <w:color w:val="1E2A2C"/>
          <w:sz w:val="20"/>
          <w:szCs w:val="20"/>
        </w:rPr>
        <w:t xml:space="preserve">Complete Section 5.7 before launch. [GO-LIVE GATE]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rPr>
          <w:rFonts w:ascii="Calibri" w:cs="Calibri" w:eastAsia="Calibri" w:hAnsi="Calibri"/>
          <w:b/>
          <w:bCs/>
          <w:color w:val="1B4C48"/>
          <w:sz w:val="20"/>
          <w:szCs w:val="20"/>
        </w:rPr>
        <w:t xml:space="preserve">Run the go-live gate check — </w:t>
      </w:r>
      <w:r>
        <w:rPr>
          <w:rFonts w:ascii="Calibri" w:cs="Calibri" w:eastAsia="Calibri" w:hAnsi="Calibri"/>
          <w:color w:val="1E2A2C"/>
          <w:sz w:val="20"/>
          <w:szCs w:val="20"/>
        </w:rPr>
        <w:t xml:space="preserve">Confirm all seven technical requirement sets in Section 5 are met. [GO-LIVE GATE]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rPr>
          <w:rFonts w:ascii="Calibri" w:cs="Calibri" w:eastAsia="Calibri" w:hAnsi="Calibri"/>
          <w:b/>
          <w:bCs/>
          <w:color w:val="1B4C48"/>
          <w:sz w:val="20"/>
          <w:szCs w:val="20"/>
        </w:rPr>
        <w:t xml:space="preserve">Launch — </w:t>
      </w:r>
      <w:r>
        <w:rPr>
          <w:rFonts w:ascii="Calibri" w:cs="Calibri" w:eastAsia="Calibri" w:hAnsi="Calibri"/>
          <w:color w:val="1E2A2C"/>
          <w:sz w:val="20"/>
          <w:szCs w:val="20"/>
        </w:rPr>
        <w:t xml:space="preserve">Release to users and record the go-live date in the Hub.</w:t>
      </w:r>
    </w:p>
    <w:p>
      <w:pPr>
        <w:spacing w:after="50" w:before="160"/>
      </w:pPr>
      <w:r>
        <w:rPr>
          <w:rFonts w:ascii="Calibri" w:cs="Calibri" w:eastAsia="Calibri" w:hAnsi="Calibri"/>
          <w:b/>
          <w:bCs/>
          <w:color w:val="1B4C48"/>
          <w:sz w:val="19"/>
          <w:szCs w:val="19"/>
        </w:rPr>
        <w:t xml:space="preserve">Phase E — Run &amp; maintain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rPr>
          <w:rFonts w:ascii="Calibri" w:cs="Calibri" w:eastAsia="Calibri" w:hAnsi="Calibri"/>
          <w:b/>
          <w:bCs/>
          <w:color w:val="1B4C48"/>
          <w:sz w:val="20"/>
          <w:szCs w:val="20"/>
        </w:rPr>
        <w:t xml:space="preserve">Complete each scheduled review — </w:t>
      </w:r>
      <w:r>
        <w:rPr>
          <w:rFonts w:ascii="Calibri" w:cs="Calibri" w:eastAsia="Calibri" w:hAnsi="Calibri"/>
          <w:color w:val="1E2A2C"/>
          <w:sz w:val="20"/>
          <w:szCs w:val="20"/>
        </w:rPr>
        <w:t xml:space="preserve">Re-assess security and utility per Section 5.6 when the reminder fires.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rPr>
          <w:rFonts w:ascii="Calibri" w:cs="Calibri" w:eastAsia="Calibri" w:hAnsi="Calibri"/>
          <w:b/>
          <w:bCs/>
          <w:color w:val="1B4C48"/>
          <w:sz w:val="20"/>
          <w:szCs w:val="20"/>
        </w:rPr>
        <w:t xml:space="preserve">Keep documentation current — </w:t>
      </w:r>
      <w:r>
        <w:rPr>
          <w:rFonts w:ascii="Calibri" w:cs="Calibri" w:eastAsia="Calibri" w:hAnsi="Calibri"/>
          <w:color w:val="1E2A2C"/>
          <w:sz w:val="20"/>
          <w:szCs w:val="20"/>
        </w:rPr>
        <w:t xml:space="preserve">Update Section 5.3 documentation at every material change.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rPr>
          <w:rFonts w:ascii="Calibri" w:cs="Calibri" w:eastAsia="Calibri" w:hAnsi="Calibri"/>
          <w:b/>
          <w:bCs/>
          <w:color w:val="1B4C48"/>
          <w:sz w:val="20"/>
          <w:szCs w:val="20"/>
        </w:rPr>
        <w:t xml:space="preserve">Transfer ownership on attrition — </w:t>
      </w:r>
      <w:r>
        <w:rPr>
          <w:rFonts w:ascii="Calibri" w:cs="Calibri" w:eastAsia="Calibri" w:hAnsi="Calibri"/>
          <w:color w:val="1E2A2C"/>
          <w:sz w:val="20"/>
          <w:szCs w:val="20"/>
        </w:rPr>
        <w:t xml:space="preserve">Apply the transfer SLA in Section 5.5 the moment an owner leaves or changes role.</w:t>
      </w:r>
    </w:p>
    <w:p>
      <w:pPr>
        <w:spacing w:after="50" w:before="160"/>
      </w:pPr>
      <w:r>
        <w:rPr>
          <w:rFonts w:ascii="Calibri" w:cs="Calibri" w:eastAsia="Calibri" w:hAnsi="Calibri"/>
          <w:b/>
          <w:bCs/>
          <w:color w:val="1B4C48"/>
          <w:sz w:val="19"/>
          <w:szCs w:val="19"/>
        </w:rPr>
        <w:t xml:space="preserve">Phase F — Retire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rPr>
          <w:rFonts w:ascii="Calibri" w:cs="Calibri" w:eastAsia="Calibri" w:hAnsi="Calibri"/>
          <w:b/>
          <w:bCs/>
          <w:color w:val="1B4C48"/>
          <w:sz w:val="20"/>
          <w:szCs w:val="20"/>
        </w:rPr>
        <w:t xml:space="preserve">Decide and decommission — </w:t>
      </w:r>
      <w:r>
        <w:rPr>
          <w:rFonts w:ascii="Calibri" w:cs="Calibri" w:eastAsia="Calibri" w:hAnsi="Calibri"/>
          <w:color w:val="1E2A2C"/>
          <w:sz w:val="20"/>
          <w:szCs w:val="20"/>
        </w:rPr>
        <w:t xml:space="preserve">Business owner records the retire decision and rationale; the Hub record is kept, marked retired.</w:t>
      </w:r>
    </w:p>
    <w:p>
      <w:pPr>
        <w:pStyle w:val="Heading1"/>
        <w:pBdr>
          <w:bottom w:val="single" w:color="2E6E68" w:sz="6" w:space="4"/>
        </w:pBdr>
        <w:spacing w:after="160" w:before="380"/>
      </w:pPr>
      <w:r>
        <w:rPr>
          <w:rFonts w:ascii="Georgia" w:cs="Georgia" w:eastAsia="Georgia" w:hAnsi="Georgia"/>
          <w:b/>
          <w:bCs/>
          <w:color w:val="1B4C48"/>
          <w:sz w:val="29"/>
          <w:szCs w:val="29"/>
        </w:rPr>
        <w:t xml:space="preserve">7. Technical compliance &amp; audit checklist</w:t>
      </w:r>
    </w:p>
    <w:p>
      <w:pPr>
        <w:spacing w:after="13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A2C"/>
          <w:sz w:val="20"/>
          <w:szCs w:val="20"/>
        </w:rPr>
        <w:t xml:space="preserve">The same seven requirement sets from Section 5, restated as pass/fail line items. Use one copy of this table per tool: mark each Pass, Fail, or N/A, and record the evidence checked (Hub record, wiki page, scan report, sign-off email, etc.). A tool is certified only when every applicable item is Pass or N/A.</w:t>
      </w:r>
    </w:p>
    <w:tbl>
      <w:tblPr>
        <w:tblW w:type="dxa" w:w="8920"/>
        <w:tblBorders>
          <w:top w:val="single" w:color="C9C0AC" w:sz="4"/>
          <w:left w:val="single" w:color="C9C0AC" w:sz="4"/>
          <w:bottom w:val="single" w:color="C9C0AC" w:sz="4"/>
          <w:right w:val="single" w:color="C9C0AC" w:sz="4"/>
          <w:insideH w:val="single" w:color="C9C0AC" w:sz="3"/>
          <w:insideV w:val="single" w:color="C9C0AC" w:sz="3"/>
        </w:tblBorders>
      </w:tblPr>
      <w:tblGrid>
        <w:gridCol w:w="420"/>
        <w:gridCol w:w="4300"/>
        <w:gridCol w:w="1300"/>
        <w:gridCol w:w="2900"/>
      </w:tblGrid>
      <w:tr>
        <w:trPr>
          <w:tblHeader/>
        </w:trPr>
        <w:tc>
          <w:tcPr>
            <w:tcW w:type="dxa" w:w="420"/>
            <w:shd w:fill="1B4C4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300"/>
            <w:shd w:fill="1B4C4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1300"/>
            <w:shd w:fill="1B4C4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Pass / Fail / N-A</w:t>
            </w:r>
          </w:p>
        </w:tc>
        <w:tc>
          <w:tcPr>
            <w:tcW w:type="dxa" w:w="2900"/>
            <w:shd w:fill="1B4C4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Evidence</w:t>
            </w:r>
          </w:p>
        </w:tc>
      </w:tr>
      <w:tr>
        <w:tc>
          <w:tcPr>
            <w:tcW w:type="dxa" w:w="8920"/>
            <w:gridSpan w:val="4"/>
            <w:shd w:fill="EFEB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1B4C48"/>
                <w:sz w:val="17"/>
                <w:szCs w:val="17"/>
              </w:rPr>
              <w:t xml:space="preserve">5.1  Security &amp; cyber approval</w:t>
            </w:r>
          </w:p>
        </w:tc>
      </w:tr>
      <w:tr>
        <w:tc>
          <w:tcPr>
            <w:tcW w:type="dxa" w:w="4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1B4C48"/>
                <w:sz w:val="17"/>
                <w:szCs w:val="17"/>
              </w:rPr>
              <w:t xml:space="preserve">1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Data classification assigned: Public / Internal / Confidential / Restricted.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 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4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1B4C48"/>
                <w:sz w:val="17"/>
                <w:szCs w:val="17"/>
              </w:rPr>
              <w:t xml:space="preserve">2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Authentication via company SSO / OAuth2; no hardcoded credentials or personal API keys in code or config.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 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4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1B4C48"/>
                <w:sz w:val="17"/>
                <w:szCs w:val="17"/>
              </w:rPr>
              <w:t xml:space="preserve">3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Secrets (API keys, connection strings, model keys) stored in the company secrets vault, never in source control.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 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4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1B4C48"/>
                <w:sz w:val="17"/>
                <w:szCs w:val="17"/>
              </w:rPr>
              <w:t xml:space="preserve">4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TLS 1.2+ enforced in transit; encryption at rest for any data the tool stores or caches.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 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4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1B4C48"/>
                <w:sz w:val="17"/>
                <w:szCs w:val="17"/>
              </w:rPr>
              <w:t xml:space="preserve">5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Third-party AI/model provider reviewed for data residency, retention, and a signed data processing agreement where personal data leaves the company.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 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4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1B4C48"/>
                <w:sz w:val="17"/>
                <w:szCs w:val="17"/>
              </w:rPr>
              <w:t xml:space="preserve">6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Prompt-injection and data-leakage risk explicitly assessed for any generative / LLM-based component.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 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4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1B4C48"/>
                <w:sz w:val="17"/>
                <w:szCs w:val="17"/>
              </w:rPr>
              <w:t xml:space="preserve">7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Access and usage logging enabled and retained for at least 12 months.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 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4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1B4C48"/>
                <w:sz w:val="17"/>
                <w:szCs w:val="17"/>
              </w:rPr>
              <w:t xml:space="preserve">8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Dependency and vulnerability scan completed before go-live.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 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4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1B4C48"/>
                <w:sz w:val="17"/>
                <w:szCs w:val="17"/>
              </w:rPr>
              <w:t xml:space="preserve">9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Penetration test completed before go-live for High-risk tools (Section 4), and annually thereafter.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 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4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1B4C48"/>
                <w:sz w:val="17"/>
                <w:szCs w:val="17"/>
              </w:rPr>
              <w:t xml:space="preserve">10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Written approval recorded in the Hub record: approver, risk tier, approval date, expiry date.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 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8920"/>
            <w:gridSpan w:val="4"/>
            <w:shd w:fill="EFEB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1B4C48"/>
                <w:sz w:val="17"/>
                <w:szCs w:val="17"/>
              </w:rPr>
              <w:t xml:space="preserve">5.2  Shared data architecture &amp; integration</w:t>
            </w:r>
          </w:p>
        </w:tc>
      </w:tr>
      <w:tr>
        <w:tc>
          <w:tcPr>
            <w:tcW w:type="dxa" w:w="4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1B4C48"/>
                <w:sz w:val="17"/>
                <w:szCs w:val="17"/>
              </w:rPr>
              <w:t xml:space="preserve">11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Data store choice documented, and checked against existing shared platforms/schemas before a new store is created.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 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4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1B4C48"/>
                <w:sz w:val="17"/>
                <w:szCs w:val="17"/>
              </w:rPr>
              <w:t xml:space="preserve">12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Schema or data dictionary published and linked from the Hub record.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 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4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1B4C48"/>
                <w:sz w:val="17"/>
                <w:szCs w:val="17"/>
              </w:rPr>
              <w:t xml:space="preserve">13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Any data other tools might need is exposed through a documented API or event stream — never a private, undocumented point-to-point link.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 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4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1B4C48"/>
                <w:sz w:val="17"/>
                <w:szCs w:val="17"/>
              </w:rPr>
              <w:t xml:space="preserve">14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API versioning and deprecation policy defined for any interface the tool exposes.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 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4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1B4C48"/>
                <w:sz w:val="17"/>
                <w:szCs w:val="17"/>
              </w:rPr>
              <w:t xml:space="preserve">15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Data contract documented: request/response schema and availability expectation (SLA).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 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4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1B4C48"/>
                <w:sz w:val="17"/>
                <w:szCs w:val="17"/>
              </w:rPr>
              <w:t xml:space="preserve">16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Data retention and deletion policy defined and implemented.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 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4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1B4C48"/>
                <w:sz w:val="17"/>
                <w:szCs w:val="17"/>
              </w:rPr>
              <w:t xml:space="preserve">17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Naming follows the company's data and service naming convention.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 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8920"/>
            <w:gridSpan w:val="4"/>
            <w:shd w:fill="EFEB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1B4C48"/>
                <w:sz w:val="17"/>
                <w:szCs w:val="17"/>
              </w:rPr>
              <w:t xml:space="preserve">5.3  Process wiki &amp; technical documentation</w:t>
            </w:r>
          </w:p>
        </w:tc>
      </w:tr>
      <w:tr>
        <w:tc>
          <w:tcPr>
            <w:tcW w:type="dxa" w:w="4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1B4C48"/>
                <w:sz w:val="17"/>
                <w:szCs w:val="17"/>
              </w:rPr>
              <w:t xml:space="preserve">18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Overview and architecture diagram published.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 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4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1B4C48"/>
                <w:sz w:val="17"/>
                <w:szCs w:val="17"/>
              </w:rPr>
              <w:t xml:space="preserve">19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Data-flow diagram published, covering inputs, processing, and outputs.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 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4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1B4C48"/>
                <w:sz w:val="17"/>
                <w:szCs w:val="17"/>
              </w:rPr>
              <w:t xml:space="preserve">20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Runbook covering deployment, rollback, and on-call escalation published.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 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4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1B4C48"/>
                <w:sz w:val="17"/>
                <w:szCs w:val="17"/>
              </w:rPr>
              <w:t xml:space="preserve">21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Exception-handling and manual fallback procedure documented.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 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4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1B4C48"/>
                <w:sz w:val="17"/>
                <w:szCs w:val="17"/>
              </w:rPr>
              <w:t xml:space="preserve">22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Model / prompt version log maintained for any generative component.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 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4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1B4C48"/>
                <w:sz w:val="17"/>
                <w:szCs w:val="17"/>
              </w:rPr>
              <w:t xml:space="preserve">23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Documentation hosted on the company wiki and linked from the Hub record.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 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4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1B4C48"/>
                <w:sz w:val="17"/>
                <w:szCs w:val="17"/>
              </w:rPr>
              <w:t xml:space="preserve">24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Technical owner updates documentation at every material change, not only at audit time.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 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8920"/>
            <w:gridSpan w:val="4"/>
            <w:shd w:fill="EFEB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1B4C48"/>
                <w:sz w:val="17"/>
                <w:szCs w:val="17"/>
              </w:rPr>
              <w:t xml:space="preserve">5.4  Scope &amp; problem statement</w:t>
            </w:r>
          </w:p>
        </w:tc>
      </w:tr>
      <w:tr>
        <w:tc>
          <w:tcPr>
            <w:tcW w:type="dxa" w:w="4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1B4C48"/>
                <w:sz w:val="17"/>
                <w:szCs w:val="17"/>
              </w:rPr>
              <w:t xml:space="preserve">25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Business problem statement completed using the standard template (Appendix C).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 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4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1B4C48"/>
                <w:sz w:val="17"/>
                <w:szCs w:val="17"/>
              </w:rPr>
              <w:t xml:space="preserve">26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Target users and expected usage volume defined.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 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4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1B4C48"/>
                <w:sz w:val="17"/>
                <w:szCs w:val="17"/>
              </w:rPr>
              <w:t xml:space="preserve">27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In-scope and out-of-scope explicitly listed.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 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4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1B4C48"/>
                <w:sz w:val="17"/>
                <w:szCs w:val="17"/>
              </w:rPr>
              <w:t xml:space="preserve">28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Success metric / KPI defined, with a baseline captured before go-live.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 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4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1B4C48"/>
                <w:sz w:val="17"/>
                <w:szCs w:val="17"/>
              </w:rPr>
              <w:t xml:space="preserve">29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Signed off by the business owner before build begins.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 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8920"/>
            <w:gridSpan w:val="4"/>
            <w:shd w:fill="EFEB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1B4C48"/>
                <w:sz w:val="17"/>
                <w:szCs w:val="17"/>
              </w:rPr>
              <w:t xml:space="preserve">5.5  Ownership</w:t>
            </w:r>
          </w:p>
        </w:tc>
      </w:tr>
      <w:tr>
        <w:tc>
          <w:tcPr>
            <w:tcW w:type="dxa" w:w="4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1B4C48"/>
                <w:sz w:val="17"/>
                <w:szCs w:val="17"/>
              </w:rPr>
              <w:t xml:space="preserve">30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Business owner and technical owner both named in the Hub record.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 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4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1B4C48"/>
                <w:sz w:val="17"/>
                <w:szCs w:val="17"/>
              </w:rPr>
              <w:t xml:space="preserve">31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RACI matrix completed for the tool (Appendix B).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 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4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1B4C48"/>
                <w:sz w:val="17"/>
                <w:szCs w:val="17"/>
              </w:rPr>
              <w:t xml:space="preserve">32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Ownership transferred within 5 business days of a role change or departure.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 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4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1B4C48"/>
                <w:sz w:val="17"/>
                <w:szCs w:val="17"/>
              </w:rPr>
              <w:t xml:space="preserve">33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No tool remains recorded to a person no longer in the role beyond the transfer SLA.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 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8920"/>
            <w:gridSpan w:val="4"/>
            <w:shd w:fill="EFEB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1B4C48"/>
                <w:sz w:val="17"/>
                <w:szCs w:val="17"/>
              </w:rPr>
              <w:t xml:space="preserve">5.6  Automatic review reminder</w:t>
            </w:r>
          </w:p>
        </w:tc>
      </w:tr>
      <w:tr>
        <w:tc>
          <w:tcPr>
            <w:tcW w:type="dxa" w:w="4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1B4C48"/>
                <w:sz w:val="17"/>
                <w:szCs w:val="17"/>
              </w:rPr>
              <w:t xml:space="preserve">34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Risk tier assigned — High / Medium / Low — per Section 4.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 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4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1B4C48"/>
                <w:sz w:val="17"/>
                <w:szCs w:val="17"/>
              </w:rPr>
              <w:t xml:space="preserve">35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Review cadence set accordingly: quarterly (High), 6 months (Medium), 12 months (Low).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 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4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1B4C48"/>
                <w:sz w:val="17"/>
                <w:szCs w:val="17"/>
              </w:rPr>
              <w:t xml:space="preserve">36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Reminder configured to notify the business owner, technical owner, and the security function.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 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4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1B4C48"/>
                <w:sz w:val="17"/>
                <w:szCs w:val="17"/>
              </w:rPr>
              <w:t xml:space="preserve">37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Each review re-assesses both cyber risk and whether the tool is still worth maintaining.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 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4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1B4C48"/>
                <w:sz w:val="17"/>
                <w:szCs w:val="17"/>
              </w:rPr>
              <w:t xml:space="preserve">38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A missed review automatically flags the tool non-compliant after a 30-day grace period.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 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8920"/>
            <w:gridSpan w:val="4"/>
            <w:shd w:fill="EFEB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1B4C48"/>
                <w:sz w:val="17"/>
                <w:szCs w:val="17"/>
              </w:rPr>
              <w:t xml:space="preserve">5.7  RPA / utility hub registration</w:t>
            </w:r>
          </w:p>
        </w:tc>
      </w:tr>
      <w:tr>
        <w:tc>
          <w:tcPr>
            <w:tcW w:type="dxa" w:w="4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1B4C48"/>
                <w:sz w:val="17"/>
                <w:szCs w:val="17"/>
              </w:rPr>
              <w:t xml:space="preserve">39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Tool registered in the central automation / utility hub, regardless of the platform it is built on.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 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4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1B4C48"/>
                <w:sz w:val="17"/>
                <w:szCs w:val="17"/>
              </w:rPr>
              <w:t xml:space="preserve">40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Usage volume tracked and reported.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 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4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1B4C48"/>
                <w:sz w:val="17"/>
                <w:szCs w:val="17"/>
              </w:rPr>
              <w:t xml:space="preserve">41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Time or cost savings estimated and recorded.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 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4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1B4C48"/>
                <w:sz w:val="17"/>
                <w:szCs w:val="17"/>
              </w:rPr>
              <w:t xml:space="preserve">42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Savings figure refreshed at least quarterly.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 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 </w:t>
            </w:r>
          </w:p>
        </w:tc>
      </w:tr>
    </w:tbl>
    <w:p>
      <w:pPr>
        <w:spacing w:after="4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A2C"/>
          <w:sz w:val="20"/>
          <w:szCs w:val="20"/>
        </w:rPr>
        <w:t xml:space="preserve">Risk tier: ____________     Overall result:  ☐ Certified    ☐ Partial — remediation required by: ____________    ☐ Non-compliant — escalated to: ____________</w:t>
      </w:r>
    </w:p>
    <w:p>
      <w:pPr>
        <w:spacing w:after="2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A2C"/>
          <w:sz w:val="20"/>
          <w:szCs w:val="20"/>
        </w:rPr>
        <w:t xml:space="preserve">Audited by: ____________________        Date: ____________        Next audit due: ____________</w:t>
      </w:r>
    </w:p>
    <w:p>
      <w:pPr>
        <w:pStyle w:val="Heading1"/>
        <w:pBdr>
          <w:bottom w:val="single" w:color="2E6E68" w:sz="6" w:space="4"/>
        </w:pBdr>
        <w:spacing w:after="160" w:before="380"/>
      </w:pPr>
      <w:r>
        <w:rPr>
          <w:rFonts w:ascii="Georgia" w:cs="Georgia" w:eastAsia="Georgia" w:hAnsi="Georgia"/>
          <w:b/>
          <w:bCs/>
          <w:color w:val="1B4C48"/>
          <w:sz w:val="29"/>
          <w:szCs w:val="29"/>
        </w:rPr>
        <w:t xml:space="preserve">8. Roles &amp; responsibilities</w:t>
      </w:r>
    </w:p>
    <w:tbl>
      <w:tblPr>
        <w:tblW w:type="dxa" w:w="8900"/>
        <w:tblBorders>
          <w:top w:val="single" w:color="C9C0AC" w:sz="4"/>
          <w:left w:val="single" w:color="C9C0AC" w:sz="4"/>
          <w:bottom w:val="single" w:color="C9C0AC" w:sz="4"/>
          <w:right w:val="single" w:color="C9C0AC" w:sz="4"/>
          <w:insideH w:val="single" w:color="C9C0AC" w:sz="3"/>
          <w:insideV w:val="single" w:color="C9C0AC" w:sz="3"/>
        </w:tblBorders>
      </w:tblPr>
      <w:tblGrid>
        <w:gridCol w:w="2400"/>
        <w:gridCol w:w="6500"/>
      </w:tblGrid>
      <w:tr>
        <w:trPr>
          <w:tblHeader/>
        </w:trPr>
        <w:tc>
          <w:tcPr>
            <w:tcW w:type="dxa" w:w="2400"/>
            <w:shd w:fill="1B4C4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6500"/>
            <w:shd w:fill="1B4C4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Responsibility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1E2A2C"/>
                <w:sz w:val="17"/>
                <w:szCs w:val="17"/>
              </w:rPr>
              <w:t xml:space="preserve">Project / development team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Follows Sections 5–6 for every new tool; keeps the Hub record current as the tool changes.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1E2A2C"/>
                <w:sz w:val="17"/>
                <w:szCs w:val="17"/>
              </w:rPr>
              <w:t xml:space="preserve">Business owner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Owns the problem statement and RACI (5.4, 5.5); makes the keep / change / retire decision.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1E2A2C"/>
                <w:sz w:val="17"/>
                <w:szCs w:val="17"/>
              </w:rPr>
              <w:t xml:space="preserve">Technical owner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Owns architecture and documentation currency (5.2, 5.3); actions security remediation.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1E2A2C"/>
                <w:sz w:val="17"/>
                <w:szCs w:val="17"/>
              </w:rPr>
              <w:t xml:space="preserve">Security / cyber function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Performs risk classification support, review and sign-off behind Section 5.1.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1E2A2C"/>
                <w:sz w:val="17"/>
                <w:szCs w:val="17"/>
              </w:rPr>
              <w:t xml:space="preserve">Governance administrator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Runs the audit in Section 7 on the cadence set in Section 5.6; escalates non-compliant or ownerless tools.</w:t>
            </w:r>
          </w:p>
        </w:tc>
      </w:tr>
    </w:tbl>
    <w:p>
      <w:pPr>
        <w:spacing w:after="4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B4C48"/>
          <w:sz w:val="20"/>
          <w:szCs w:val="20"/>
        </w:rPr>
        <w:t xml:space="preserve">Non-compliance &amp; escalation</w:t>
      </w:r>
    </w:p>
    <w:p>
      <w:pPr>
        <w:spacing w:after="4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A2C"/>
          <w:sz w:val="20"/>
          <w:szCs w:val="20"/>
        </w:rPr>
        <w:t xml:space="preserve">A tool marked Non-compliant, or Partial past its remediation deadline, is escalated to management with three options: fund the remediation, reassign ownership, or decommission it per Phase F. A decommissioned tool's Hub record stays on file, marked retired, so the decision remains auditable.</w:t>
      </w:r>
    </w:p>
    <w:p>
      <w:r>
        <w:br w:type="page"/>
      </w:r>
    </w:p>
    <w:p>
      <w:pPr>
        <w:pStyle w:val="Heading1"/>
        <w:pBdr>
          <w:bottom w:val="single" w:color="2E6E68" w:sz="6" w:space="4"/>
        </w:pBdr>
        <w:spacing w:after="160" w:before="380"/>
      </w:pPr>
      <w:r>
        <w:rPr>
          <w:rFonts w:ascii="Georgia" w:cs="Georgia" w:eastAsia="Georgia" w:hAnsi="Georgia"/>
          <w:b/>
          <w:bCs/>
          <w:color w:val="1B4C48"/>
          <w:sz w:val="29"/>
          <w:szCs w:val="29"/>
        </w:rPr>
        <w:t xml:space="preserve">Appendix A — Data classification levels</w:t>
      </w:r>
    </w:p>
    <w:tbl>
      <w:tblPr>
        <w:tblW w:type="dxa" w:w="8800"/>
        <w:tblBorders>
          <w:top w:val="single" w:color="C9C0AC" w:sz="4"/>
          <w:left w:val="single" w:color="C9C0AC" w:sz="4"/>
          <w:bottom w:val="single" w:color="C9C0AC" w:sz="4"/>
          <w:right w:val="single" w:color="C9C0AC" w:sz="4"/>
          <w:insideH w:val="single" w:color="C9C0AC" w:sz="3"/>
          <w:insideV w:val="single" w:color="C9C0AC" w:sz="3"/>
        </w:tblBorders>
      </w:tblPr>
      <w:tblGrid>
        <w:gridCol w:w="1900"/>
        <w:gridCol w:w="6900"/>
      </w:tblGrid>
      <w:tr>
        <w:trPr>
          <w:tblHeader/>
        </w:trPr>
        <w:tc>
          <w:tcPr>
            <w:tcW w:type="dxa" w:w="1900"/>
            <w:shd w:fill="1B4C4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Level</w:t>
            </w:r>
          </w:p>
        </w:tc>
        <w:tc>
          <w:tcPr>
            <w:tcW w:type="dxa" w:w="6900"/>
            <w:shd w:fill="1B4C4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Definition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1E2A2C"/>
                <w:sz w:val="17"/>
                <w:szCs w:val="17"/>
              </w:rPr>
              <w:t xml:space="preserve">Public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No harm if disclosed publicly (marketing copy, published documentation).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1E2A2C"/>
                <w:sz w:val="17"/>
                <w:szCs w:val="17"/>
              </w:rPr>
              <w:t xml:space="preserve">Internal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Not for external release, low sensitivity (internal process notes, non-sensitive metrics).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1E2A2C"/>
                <w:sz w:val="17"/>
                <w:szCs w:val="17"/>
              </w:rPr>
              <w:t xml:space="preserve">Confidential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Commercially sensitive or personal data covered by the company's privacy policy (customer records, contracts, employee data).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1E2A2C"/>
                <w:sz w:val="17"/>
                <w:szCs w:val="17"/>
              </w:rPr>
              <w:t xml:space="preserve">Restricted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Regulated or high-impact data (financial, health, credentials, security findings) — Confidential controls plus named-access approval.</w:t>
            </w:r>
          </w:p>
        </w:tc>
      </w:tr>
    </w:tbl>
    <w:p>
      <w:pPr>
        <w:pStyle w:val="Heading1"/>
        <w:pBdr>
          <w:bottom w:val="single" w:color="2E6E68" w:sz="6" w:space="4"/>
        </w:pBdr>
        <w:spacing w:after="160" w:before="380"/>
      </w:pPr>
      <w:r>
        <w:rPr>
          <w:rFonts w:ascii="Georgia" w:cs="Georgia" w:eastAsia="Georgia" w:hAnsi="Georgia"/>
          <w:b/>
          <w:bCs/>
          <w:color w:val="1B4C48"/>
          <w:sz w:val="29"/>
          <w:szCs w:val="29"/>
        </w:rPr>
        <w:t xml:space="preserve">Appendix B — RACI matrix template</w:t>
      </w:r>
    </w:p>
    <w:tbl>
      <w:tblPr>
        <w:tblW w:type="dxa" w:w="8900"/>
        <w:tblBorders>
          <w:top w:val="single" w:color="C9C0AC" w:sz="4"/>
          <w:left w:val="single" w:color="C9C0AC" w:sz="4"/>
          <w:bottom w:val="single" w:color="C9C0AC" w:sz="4"/>
          <w:right w:val="single" w:color="C9C0AC" w:sz="4"/>
          <w:insideH w:val="single" w:color="C9C0AC" w:sz="3"/>
          <w:insideV w:val="single" w:color="C9C0AC" w:sz="3"/>
        </w:tblBorders>
      </w:tblPr>
      <w:tblGrid>
        <w:gridCol w:w="3200"/>
        <w:gridCol w:w="1400"/>
        <w:gridCol w:w="1400"/>
        <w:gridCol w:w="1400"/>
        <w:gridCol w:w="1500"/>
      </w:tblGrid>
      <w:tr>
        <w:trPr>
          <w:tblHeader/>
        </w:trPr>
        <w:tc>
          <w:tcPr>
            <w:tcW w:type="dxa" w:w="3200"/>
            <w:shd w:fill="1B4C4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Activity</w:t>
            </w:r>
          </w:p>
        </w:tc>
        <w:tc>
          <w:tcPr>
            <w:tcW w:type="dxa" w:w="1400"/>
            <w:shd w:fill="1B4C4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Responsible</w:t>
            </w:r>
          </w:p>
        </w:tc>
        <w:tc>
          <w:tcPr>
            <w:tcW w:type="dxa" w:w="1400"/>
            <w:shd w:fill="1B4C4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Accountable</w:t>
            </w:r>
          </w:p>
        </w:tc>
        <w:tc>
          <w:tcPr>
            <w:tcW w:type="dxa" w:w="1400"/>
            <w:shd w:fill="1B4C4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Consulted</w:t>
            </w:r>
          </w:p>
        </w:tc>
        <w:tc>
          <w:tcPr>
            <w:tcW w:type="dxa" w:w="1500"/>
            <w:shd w:fill="1B4C4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Informed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1E2A2C"/>
                <w:sz w:val="17"/>
                <w:szCs w:val="17"/>
              </w:rPr>
              <w:t xml:space="preserve">Problem statement &amp; scope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 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 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 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1E2A2C"/>
                <w:sz w:val="17"/>
                <w:szCs w:val="17"/>
              </w:rPr>
              <w:t xml:space="preserve">Data architecture design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 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 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 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1E2A2C"/>
                <w:sz w:val="17"/>
                <w:szCs w:val="17"/>
              </w:rPr>
              <w:t xml:space="preserve">Security review &amp; approval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 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 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 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1E2A2C"/>
                <w:sz w:val="17"/>
                <w:szCs w:val="17"/>
              </w:rPr>
              <w:t xml:space="preserve">Build &amp; test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 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 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 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1E2A2C"/>
                <w:sz w:val="17"/>
                <w:szCs w:val="17"/>
              </w:rPr>
              <w:t xml:space="preserve">Documentation (wiki)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 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 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 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1E2A2C"/>
                <w:sz w:val="17"/>
                <w:szCs w:val="17"/>
              </w:rPr>
              <w:t xml:space="preserve">Go-live decision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 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 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 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1E2A2C"/>
                <w:sz w:val="17"/>
                <w:szCs w:val="17"/>
              </w:rPr>
              <w:t xml:space="preserve">Scheduled review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 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 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 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1E2A2C"/>
                <w:sz w:val="17"/>
                <w:szCs w:val="17"/>
              </w:rPr>
              <w:t xml:space="preserve">Retire / decommission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 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 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 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A2C"/>
                <w:sz w:val="17"/>
                <w:szCs w:val="17"/>
              </w:rPr>
              <w:t xml:space="preserve"> </w:t>
            </w:r>
          </w:p>
        </w:tc>
      </w:tr>
    </w:tbl>
    <w:p>
      <w:pPr>
        <w:pStyle w:val="Heading1"/>
        <w:pBdr>
          <w:bottom w:val="single" w:color="2E6E68" w:sz="6" w:space="4"/>
        </w:pBdr>
        <w:spacing w:after="160" w:before="380"/>
      </w:pPr>
      <w:r>
        <w:rPr>
          <w:rFonts w:ascii="Georgia" w:cs="Georgia" w:eastAsia="Georgia" w:hAnsi="Georgia"/>
          <w:b/>
          <w:bCs/>
          <w:color w:val="1B4C48"/>
          <w:sz w:val="29"/>
          <w:szCs w:val="29"/>
        </w:rPr>
        <w:t xml:space="preserve">Appendix C — Problem statement template</w:t>
      </w:r>
    </w:p>
    <w:p>
      <w:pPr>
        <w:spacing w:after="50" w:before="160"/>
      </w:pPr>
      <w:r>
        <w:rPr>
          <w:rFonts w:ascii="Calibri" w:cs="Calibri" w:eastAsia="Calibri" w:hAnsi="Calibri"/>
          <w:b/>
          <w:bCs/>
          <w:color w:val="1B4C48"/>
          <w:sz w:val="19"/>
          <w:szCs w:val="19"/>
        </w:rPr>
        <w:t xml:space="preserve">Business problem</w:t>
      </w:r>
    </w:p>
    <w:p>
      <w:pPr>
        <w:spacing w:after="100" w:line="290"/>
      </w:pPr>
      <w:r>
        <w:rPr>
          <w:rFonts w:ascii="Calibri" w:cs="Calibri" w:eastAsia="Calibri" w:hAnsi="Calibri"/>
          <w:b w:val="false"/>
          <w:bCs w:val="false"/>
          <w:i/>
          <w:iCs/>
          <w:color w:val="5C6B6B"/>
          <w:sz w:val="20"/>
          <w:szCs w:val="20"/>
        </w:rPr>
        <w:t xml:space="preserve">What manual or inefficient process does this tool remove or improve?</w:t>
      </w:r>
    </w:p>
    <w:p>
      <w:pPr>
        <w:spacing w:after="50" w:before="160"/>
      </w:pPr>
      <w:r>
        <w:rPr>
          <w:rFonts w:ascii="Calibri" w:cs="Calibri" w:eastAsia="Calibri" w:hAnsi="Calibri"/>
          <w:b/>
          <w:bCs/>
          <w:color w:val="1B4C48"/>
          <w:sz w:val="19"/>
          <w:szCs w:val="19"/>
        </w:rPr>
        <w:t xml:space="preserve">Target users</w:t>
      </w:r>
    </w:p>
    <w:p>
      <w:pPr>
        <w:spacing w:after="100" w:line="290"/>
      </w:pPr>
      <w:r>
        <w:rPr>
          <w:rFonts w:ascii="Calibri" w:cs="Calibri" w:eastAsia="Calibri" w:hAnsi="Calibri"/>
          <w:b w:val="false"/>
          <w:bCs w:val="false"/>
          <w:i/>
          <w:iCs/>
          <w:color w:val="5C6B6B"/>
          <w:sz w:val="20"/>
          <w:szCs w:val="20"/>
        </w:rPr>
        <w:t xml:space="preserve">Who uses it, and how often?</w:t>
      </w:r>
    </w:p>
    <w:p>
      <w:pPr>
        <w:spacing w:after="50" w:before="160"/>
      </w:pPr>
      <w:r>
        <w:rPr>
          <w:rFonts w:ascii="Calibri" w:cs="Calibri" w:eastAsia="Calibri" w:hAnsi="Calibri"/>
          <w:b/>
          <w:bCs/>
          <w:color w:val="1B4C48"/>
          <w:sz w:val="19"/>
          <w:szCs w:val="19"/>
        </w:rPr>
        <w:t xml:space="preserve">In-scope</w:t>
      </w:r>
    </w:p>
    <w:p>
      <w:pPr>
        <w:spacing w:after="100" w:line="290"/>
      </w:pPr>
      <w:r>
        <w:rPr>
          <w:rFonts w:ascii="Calibri" w:cs="Calibri" w:eastAsia="Calibri" w:hAnsi="Calibri"/>
          <w:b w:val="false"/>
          <w:bCs w:val="false"/>
          <w:i/>
          <w:iCs/>
          <w:color w:val="5C6B6B"/>
          <w:sz w:val="20"/>
          <w:szCs w:val="20"/>
        </w:rPr>
        <w:t xml:space="preserve">What the tool explicitly does.</w:t>
      </w:r>
    </w:p>
    <w:p>
      <w:pPr>
        <w:spacing w:after="50" w:before="160"/>
      </w:pPr>
      <w:r>
        <w:rPr>
          <w:rFonts w:ascii="Calibri" w:cs="Calibri" w:eastAsia="Calibri" w:hAnsi="Calibri"/>
          <w:b/>
          <w:bCs/>
          <w:color w:val="1B4C48"/>
          <w:sz w:val="19"/>
          <w:szCs w:val="19"/>
        </w:rPr>
        <w:t xml:space="preserve">Out-of-scope</w:t>
      </w:r>
    </w:p>
    <w:p>
      <w:pPr>
        <w:spacing w:after="100" w:line="290"/>
      </w:pPr>
      <w:r>
        <w:rPr>
          <w:rFonts w:ascii="Calibri" w:cs="Calibri" w:eastAsia="Calibri" w:hAnsi="Calibri"/>
          <w:b w:val="false"/>
          <w:bCs w:val="false"/>
          <w:i/>
          <w:iCs/>
          <w:color w:val="5C6B6B"/>
          <w:sz w:val="20"/>
          <w:szCs w:val="20"/>
        </w:rPr>
        <w:t xml:space="preserve">What it explicitly does not do.</w:t>
      </w:r>
    </w:p>
    <w:p>
      <w:pPr>
        <w:spacing w:after="50" w:before="160"/>
      </w:pPr>
      <w:r>
        <w:rPr>
          <w:rFonts w:ascii="Calibri" w:cs="Calibri" w:eastAsia="Calibri" w:hAnsi="Calibri"/>
          <w:b/>
          <w:bCs/>
          <w:color w:val="1B4C48"/>
          <w:sz w:val="19"/>
          <w:szCs w:val="19"/>
        </w:rPr>
        <w:t xml:space="preserve">Success metric</w:t>
      </w:r>
    </w:p>
    <w:p>
      <w:pPr>
        <w:spacing w:after="100" w:line="290"/>
      </w:pPr>
      <w:r>
        <w:rPr>
          <w:rFonts w:ascii="Calibri" w:cs="Calibri" w:eastAsia="Calibri" w:hAnsi="Calibri"/>
          <w:b w:val="false"/>
          <w:bCs w:val="false"/>
          <w:i/>
          <w:iCs/>
          <w:color w:val="5C6B6B"/>
          <w:sz w:val="20"/>
          <w:szCs w:val="20"/>
        </w:rPr>
        <w:t xml:space="preserve">The measurable outcome that defines it as working (time saved, error rate, adoption).</w:t>
      </w:r>
    </w:p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C6B6B"/>
        <w:sz w:val="15"/>
        <w:szCs w:val="15"/>
      </w:rPr>
      <w:t xml:space="preserve">AI Development Standard   ·   Page </w:t>
    </w:r>
    <w:r>
      <w:rPr>
        <w:rFonts w:ascii="Calibri" w:cs="Calibri" w:eastAsia="Calibri" w:hAnsi="Calibri"/>
        <w:color w:val="5C6B6B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C6B6B"/>
        <w:sz w:val="15"/>
        <w:szCs w:val="15"/>
      </w:rPr>
      <w:t xml:space="preserve"> of </w:t>
    </w:r>
    <w:r>
      <w:rPr>
        <w:rFonts w:ascii="Calibri" w:cs="Calibri" w:eastAsia="Calibri" w:hAnsi="Calibri"/>
        <w:color w:val="5C6B6B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b/>
        <w:bCs/>
        <w:color w:val="2E6E68"/>
        <w:sz w:val="14"/>
        <w:szCs w:val="14"/>
      </w:rPr>
      <w:t xml:space="preserve">INTERNAL · AI GOVERNANCE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A2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2026-09-13T10:25:29.687Z</dcterms:created>
  <dcterms:modified xsi:type="dcterms:W3CDTF">2026-09-13T10:25:29.687Z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