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LS,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Project Bonsai caught my eye while browsing JetBrains' openings. The problem you're working on - connecting specs, architecture and code in a way that AI agents can actually reason about - is exactly the kind of deep, structural challenge I find compelling.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My background sits at the intersection of product and technical work. At South Pole I took multiple SaaS products from concept to launch, led discovery cycles, ran UX testing, and made the call on what to build and what to kill. Before that, I founded CO₂ok from scratch: defined the product, built the team, secured funding, onboarded merchants, and eventually negotiated an exit. I know what zero-to-one looks like, and I know how to move through the ambiguity that comes with it.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The developer tooling angle is new territory for me, but I've spent years working closely with engineers, reasoning about systems, and translating technical constraints into product decisions. I can hold my own in technical conversations; I've worked with AI/ML integrations, cloud architecture, and APIs throughout my career.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What draws me to Bonsai specifically is that it's a genuinely hard problem with a prototype already in hand. The scope is still being shaped - that's the part I want to be involved in.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I look forward to expanding on this in an interview.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Regards,</w:t>
      </w:r>
    </w:p>
    <w:p>
      <w:pPr>
        <w:spacing w:after="0" w:before="0" w:line="280" w:lineRule="exact"/>
      </w:pPr>
      <w:r>
        <w:rPr>
          <w:rFonts w:ascii="Calibri" w:hAnsi="Calibri"/>
          <w:color w:val="000000"/>
          <w:sz w:val="22"/>
        </w:rPr>
        <w:t>Milo de Vries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