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A74" w:rsidRPr="00CE0394" w:rsidRDefault="0005441D">
      <w:pPr>
        <w:jc w:val="right"/>
        <w:rPr>
          <w:rFonts w:cs="B Nazanin"/>
        </w:rPr>
      </w:pPr>
      <w:bookmarkStart w:id="0" w:name="_GoBack"/>
      <w:r w:rsidRPr="00CE0394">
        <w:rPr>
          <w:rFonts w:cs="B Nazanin"/>
          <w:bCs/>
          <w:rtl/>
          <w:lang w:bidi="fa-IR"/>
          <w:sz w:val="24"/>
          <w:szCs w:val="24"/>
        </w:rPr>
        <w:t>17-1-</w:t>
        <w:t xml:space="preserve"> </w:t>
      </w:r>
      <w:r w:rsidRPr="00CE0394">
        <w:rPr>
          <w:rFonts w:cs="B Nazanin"/>
          <w:bCs/>
          <w:rtl/>
          <w:lang w:bidi="fa-IR"/>
          <w:sz w:val="24"/>
          <w:szCs w:val="24"/>
        </w:rPr>
        <w:t>کارکنان شاغل در دانشگاههای علوم پزشکی برحسب گروه شغلی</w:t>
      </w:r>
    </w:p>
    <w:tbl>
      <w:tblPr>
        <w:tblStyle w:val="TableGrid"/>
        <w:bidiVisual/>
        <w:tblW w:w="100%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2052CC" w:rsidTr="000745BF">
        <w:tc>
          <w:tcPr>
            <w:tcW w:w="30%" w:type="pct"/>
            <w:tcBorders>
              <w:left w:val="single" w:sz="0" w:space="0" w:color="FFFFFF"/>
              <w:right w:val="single" w:sz="0" w:space="0" w:color="FFFFFF"/>
              <w:top w:val="single" w:sz="17" w:space="0" w:color="000000"/>
              <w:bottom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bCs/>
                <w:rFonts w:cs="B Nazanin"/>
                <w:rtl/>
                <w:lang w:bidi="fa-IR"/>
                <w:b w:val="true"/>
              </w:rPr>
              <w:t>سال و استان</w:t>
            </w:r>
          </w:p>
        </w:tc>
        <w:tc>
          <w:tcPr>
            <w:tcW w:w="16.66%" w:type="pct"/>
            <w:tcBorders>
              <w:left w:val="single" w:sz="17" w:space="0" w:color="000000"/>
              <w:bottom w:val="single" w:sz="17" w:space="0" w:color="000000"/>
              <w:top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bCs/>
                <w:rFonts w:cs="B Nazanin"/>
                <w:b w:val="true"/>
                <w:rtl/>
                <w:lang w:bidi="fa-IR"/>
              </w:rPr>
              <w:t>جمع</w:t>
            </w:r>
          </w:p>
        </w:tc>
        <w:tc>
          <w:tcPr>
            <w:tcW w:w="16.66%" w:type="pct"/>
            <w:tcBorders>
              <w:top w:val="single" w:sz="17" w:space="0" w:color="000000"/>
              <w:left w:val="single" w:sz="17" w:space="0" w:color="000000"/>
              <w:bottom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bCs/>
                <w:rFonts w:cs="B Nazanin"/>
                <w:rtl/>
                <w:lang w:bidi="fa-IR"/>
                <w:b w:val="true"/>
              </w:rPr>
              <w:t>پزشک</w:t>
            </w:r>
            <w:r>
              <w:rPr>
                <w:lang w:bidi="fa-IR"/>
                <w:rtl/>
                <w:rFonts w:cs="B Nazanin"/>
                <w:vertAlign w:val="superscript"/>
              </w:rPr>
              <w:t>(1)</w:t>
            </w:r>
          </w:p>
        </w:tc>
        <w:tc>
          <w:tcPr>
            <w:tcW w:w="16.66%" w:type="pct"/>
            <w:tcBorders>
              <w:top w:val="single" w:sz="17" w:space="0" w:color="000000"/>
              <w:left w:val="single" w:sz="17" w:space="0" w:color="000000"/>
              <w:bottom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bCs/>
                <w:rFonts w:cs="B Nazanin"/>
                <w:rtl/>
                <w:lang w:bidi="fa-IR"/>
                <w:b w:val="true"/>
              </w:rPr>
              <w:t>پیراپزشک</w:t>
            </w:r>
          </w:p>
        </w:tc>
        <w:tc>
          <w:tcPr>
            <w:tcW w:w="20%" w:type="pct"/>
            <w:tcBorders>
              <w:right w:val="single" w:sz="0" w:space="0" w:color="FFFFFF"/>
              <w:left w:val="single" w:sz="17" w:space="0" w:color="000000"/>
              <w:top w:val="single" w:sz="17" w:space="0" w:color="0000000"/>
              <w:bottom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bCs/>
                <w:rFonts w:cs="B Nazanin"/>
                <w:rtl/>
                <w:lang w:bidi="fa-IR"/>
                <w:b w:val="true"/>
              </w:rPr>
              <w:t>سایر کارکنان</w:t>
            </w:r>
            <w:r>
              <w:rPr>
                <w:lang w:bidi="fa-IR"/>
                <w:rtl/>
                <w:rFonts w:cs="B Nazanin"/>
                <w:vertAlign w:val="superscript"/>
              </w:rPr>
              <w:t>(2)</w:t>
            </w:r>
          </w:p>
        </w:tc>
      </w:tr>
      <w:tr w:rsidR="002052CC" w:rsidTr="000745BF">
        <w:tc>
          <w:tcPr>
            <w:tcW w:w="30%" w:type="ptc"/>
            <w:tcBorders>
              <w:left w:val="single" w:sz="0" w:space="0" w:color="FFFFFF"/>
              <w:bottom w:val="single" w:sz="0" w:space="0" w:color="FFFFFF"/>
              <w:right w:val="single" w:sz="17" w:space="0" w:color="000000"/>
              <w:top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1375</w:t>
            </w:r>
          </w:p>
        </w:tc>
        <w:tc>
          <w:tcPr>
            <w:tcW w:w="16.66%" w:type="pct"/>
            <w:tcBorders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269894</w:t>
            </w:r>
          </w:p>
        </w:tc>
        <w:tc>
          <w:tcPr>
            <w:tcW w:w="16.66%" w:type="tcp"/>
            <w:tcBorders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19585</w:t>
            </w:r>
          </w:p>
        </w:tc>
        <w:tc>
          <w:tcPr>
            <w:tcW w:w="16.66%" w:type="tcp"/>
            <w:tcBorders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149380</w:t>
            </w:r>
          </w:p>
        </w:tc>
        <w:tc>
          <w:tcPr>
            <w:tcW w:w="20%" w:type="tcp"/>
            <w:tcBorders>
              <w:bottom w:val="single" w:sz="0" w:space="0" w:color="FFFFFF"/>
              <w:right w:val="single" w:sz="0" w:space="0" w:color="FFFFFF"/>
              <w:left w:val="single" w:sz="0" w:space="0" w:color="FFFFFF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100929</w:t>
            </w:r>
          </w:p>
        </w:tc>
      </w:tr>
      <w:tr w:rsidR="002052CC" w:rsidTr="000745BF">
        <w:tc>
          <w:tcPr>
            <w:tcW w:w="30%" w:type="ptc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1380</w:t>
            </w:r>
          </w:p>
        </w:tc>
        <w:tc>
          <w:tcPr>
            <w:tcW w:w="16.66%" w:type="tcp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295325</w:t>
            </w:r>
          </w:p>
        </w:tc>
        <w:tc>
          <w:tcPr>
            <w:tcW w:w="16.66%" w:type="pct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21175</w:t>
            </w:r>
          </w:p>
        </w:tc>
        <w:tc>
          <w:tcPr>
            <w:tcW w:w="16.66%" w:type="pct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152396</w:t>
            </w:r>
          </w:p>
        </w:tc>
        <w:tc>
          <w:tcPr>
            <w:tcW w:w="20%" w:type="pct"/>
            <w:tcBorders>
              <w:top w:val="single" w:sz="0" w:space="0" w:color="FFFFFF"/>
              <w:bottom w:val="single" w:sz="0" w:space="0" w:color="FFFFFF"/>
              <w:right w:val="single" w:sz="0" w:space="0" w:color="FFFFFF"/>
              <w:left w:val="single" w:sz="0" w:space="0" w:color="FFFFFF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121754</w:t>
            </w:r>
          </w:p>
        </w:tc>
      </w:tr>
      <w:tr w:rsidR="002052CC" w:rsidTr="000745BF">
        <w:tc>
          <w:tcPr>
            <w:tcW w:w="30%" w:type="ptc"/>
            <w:tcBorders>
              <w:top w:val="single" w:sz="0" w:space="0" w:color="FFFFFF"/>
              <w:left w:val="single" w:sz="0" w:space="0" w:color="FFFFFF"/>
              <w:right w:val="single" w:sz="17" w:space="0" w:color="000000"/>
              <w:bottom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1385</w:t>
            </w:r>
          </w:p>
        </w:tc>
        <w:tc>
          <w:tcPr>
            <w:tcW w:w="16.66%" w:type="pct"/>
            <w:tcBorders>
              <w:top w:val="single" w:sz="0" w:space="0" w:color="FFFFFF"/>
              <w:left w:val="single" w:sz="0" w:space="0" w:color="FFFFFF"/>
              <w:right w:val="single" w:sz="0" w:space="0" w:color="FFFFFF"/>
              <w:bottom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321544</w:t>
            </w:r>
          </w:p>
        </w:tc>
        <w:tc>
          <w:tcPr>
            <w:tcW w:w="16.66%" w:type="pct"/>
            <w:tcBorders>
              <w:top w:val="single" w:sz="0" w:space="0" w:color="FFFFFF"/>
              <w:left w:val="single" w:sz="0" w:space="0" w:color="FFFFFF"/>
              <w:right w:val="single" w:sz="0" w:space="0" w:color="FFFFFF"/>
              <w:bottom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29937</w:t>
            </w:r>
          </w:p>
        </w:tc>
        <w:tc>
          <w:tcPr>
            <w:tcW w:w="16.66%" w:type="pct"/>
            <w:tcBorders>
              <w:top w:val="single" w:sz="0" w:space="0" w:color="FFFFFF"/>
              <w:left w:val="single" w:sz="0" w:space="0" w:color="FFFFFF"/>
              <w:right w:val="single" w:sz="0" w:space="0" w:color="FFFFFF"/>
              <w:bottom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173076</w:t>
            </w:r>
          </w:p>
        </w:tc>
        <w:tc>
          <w:tcPr>
            <w:tcW w:w="20%" w:type="tcp"/>
            <w:tcBorders>
              <w:top w:val="single" w:sz="0" w:space="0" w:color="FFFFFF"/>
              <w:left w:val="single" w:sz="0" w:space="0" w:color="FFFFFF"/>
              <w:right w:val="single" w:sz="0" w:space="0" w:color="FFFFFF"/>
              <w:bottom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118531</w:t>
            </w:r>
          </w:p>
        </w:tc>
      </w:tr>
    </w:tbl>
    <w:p>
      <w:pPr>
        <w:jc w:val="right"/>
      </w:pPr>
      <w:r>
        <w:rPr>
          <w:rtl/>
          <w:lang w:bidi="fa-IR"/>
          <w:rFonts w:cs="B Nazanin"/>
        </w:rPr>
        <w:t>1)</w:t>
        <w:t xml:space="preserve"> </w:t>
        <w:t>شامل پزشکان خارجی, دندانپزشک,داروساز ودامپزشک نیز می باشد .</w:t>
        <w:br/>
        <w:t>2)</w:t>
        <w:t>کلیه کسانی که در گروه پزشکان و پیرا پزشکان قرار نگرفته اند اعم از کارکنان پشتیبانی,خدماتی و... را شامل  می شود.</w:t>
      </w:r>
    </w:p>
    <w:sectPr w:rsidR="001A7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