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E25C" w14:textId="77777777" w:rsidR="00CA50CE" w:rsidRPr="00EC1E19" w:rsidRDefault="00CA50CE" w:rsidP="00CA50CE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es-UY"/>
        </w:rPr>
      </w:pPr>
      <w:r w:rsidRPr="00EC1E19"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es-UY"/>
        </w:rPr>
        <w:t>Desglose de temas de Unidad 2</w:t>
      </w:r>
    </w:p>
    <w:p w14:paraId="7402DE0B" w14:textId="77777777" w:rsidR="00CA50CE" w:rsidRPr="00EC1E19" w:rsidRDefault="00CA50CE" w:rsidP="00CA50CE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UY"/>
        </w:rPr>
        <w:t>Metodología de desarrollo Orientada a Objetos</w:t>
      </w:r>
    </w:p>
    <w:p w14:paraId="2D0D33C6" w14:textId="77777777" w:rsidR="00CA50CE" w:rsidRPr="00EC1E19" w:rsidRDefault="00CA50CE" w:rsidP="00CA50CE">
      <w:pPr>
        <w:shd w:val="clear" w:color="auto" w:fill="FFFFFF"/>
        <w:spacing w:after="0" w:line="240" w:lineRule="auto"/>
        <w:ind w:left="36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Documento de requerimientos</w:t>
      </w:r>
    </w:p>
    <w:p w14:paraId="6E87FC6F" w14:textId="77777777" w:rsidR="00CA50CE" w:rsidRPr="00EC1E19" w:rsidRDefault="00CA50CE" w:rsidP="00CA50CE">
      <w:pPr>
        <w:shd w:val="clear" w:color="auto" w:fill="FFFFFF"/>
        <w:spacing w:after="0" w:line="240" w:lineRule="auto"/>
        <w:ind w:left="36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Casos de Uso</w:t>
      </w:r>
    </w:p>
    <w:p w14:paraId="71EC0F6E" w14:textId="77777777" w:rsidR="00CA50CE" w:rsidRPr="00EC1E19" w:rsidRDefault="00CA50CE" w:rsidP="00CA50CE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Diagrama de Casos de uso de UML</w:t>
      </w:r>
    </w:p>
    <w:p w14:paraId="0818D864" w14:textId="77777777" w:rsidR="00CA50CE" w:rsidRPr="00EC1E19" w:rsidRDefault="00CA50CE" w:rsidP="00CA50CE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Escenarios para casos de uso</w:t>
      </w:r>
    </w:p>
    <w:p w14:paraId="3C321752" w14:textId="77777777" w:rsidR="00CA50CE" w:rsidRPr="00EC1E19" w:rsidRDefault="00CA50CE" w:rsidP="00CA50CE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Desarrollo de casos de uso</w:t>
      </w:r>
    </w:p>
    <w:p w14:paraId="68B577F5" w14:textId="77777777" w:rsidR="00CA50CE" w:rsidRPr="00EC1E19" w:rsidRDefault="00CA50CE" w:rsidP="00CA50CE">
      <w:pPr>
        <w:shd w:val="clear" w:color="auto" w:fill="FFFFFF"/>
        <w:spacing w:after="0" w:line="240" w:lineRule="auto"/>
        <w:ind w:left="36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Análisis Orientado a Objetos</w:t>
      </w:r>
    </w:p>
    <w:p w14:paraId="14C7E3AC" w14:textId="77777777" w:rsidR="00CA50CE" w:rsidRPr="00EC1E19" w:rsidRDefault="00CA50CE" w:rsidP="00CA50CE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Lo que compete al análisis</w:t>
      </w:r>
    </w:p>
    <w:p w14:paraId="53760604" w14:textId="77777777" w:rsidR="00CA50CE" w:rsidRPr="00EC1E19" w:rsidRDefault="00CA50CE" w:rsidP="00CA50CE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Modelo Conceptual de UML para el análisis</w:t>
      </w:r>
    </w:p>
    <w:p w14:paraId="71D19AB2" w14:textId="77777777" w:rsidR="00CA50CE" w:rsidRPr="00EC1E19" w:rsidRDefault="00CA50CE" w:rsidP="00CA50CE">
      <w:pPr>
        <w:shd w:val="clear" w:color="auto" w:fill="FFFFFF"/>
        <w:spacing w:after="0" w:line="240" w:lineRule="auto"/>
        <w:ind w:left="36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Diseño Orientado a Objetos</w:t>
      </w:r>
    </w:p>
    <w:p w14:paraId="1128974D" w14:textId="77777777" w:rsidR="00CA50CE" w:rsidRPr="00EC1E19" w:rsidRDefault="00CA50CE" w:rsidP="00CA50CE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Lo que compete al diseño</w:t>
      </w:r>
    </w:p>
    <w:p w14:paraId="5D412988" w14:textId="77777777" w:rsidR="00CA50CE" w:rsidRPr="00EC1E19" w:rsidRDefault="00CA50CE" w:rsidP="00CA50CE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Criterios para la elección de diseños Orientados a Objetos</w:t>
      </w:r>
    </w:p>
    <w:p w14:paraId="27E327F7" w14:textId="77777777" w:rsidR="00CA50CE" w:rsidRPr="00EC1E19" w:rsidRDefault="00CA50CE" w:rsidP="00CA50CE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Separación en capas (Lógica, Gráfica, Persistencia)</w:t>
      </w:r>
    </w:p>
    <w:p w14:paraId="5080F53D" w14:textId="77777777" w:rsidR="00CA50CE" w:rsidRPr="00EC1E19" w:rsidRDefault="00CA50CE" w:rsidP="00CA50CE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Diseño a nivel estático: Diagrama de Clases de UML</w:t>
      </w:r>
    </w:p>
    <w:p w14:paraId="7E4CFC13" w14:textId="77777777" w:rsidR="00CA50CE" w:rsidRPr="00EC1E19" w:rsidRDefault="00CA50CE" w:rsidP="00CA50CE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Cohesión y acoplamiento en diseño</w:t>
      </w:r>
    </w:p>
    <w:p w14:paraId="6A6F59B7" w14:textId="77777777" w:rsidR="00CA50CE" w:rsidRPr="00EC1E19" w:rsidRDefault="00CA50CE" w:rsidP="00CA50CE">
      <w:pPr>
        <w:shd w:val="clear" w:color="auto" w:fill="FFFFFF"/>
        <w:spacing w:after="0" w:line="240" w:lineRule="auto"/>
        <w:ind w:left="72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Primeros patrones de diseño: </w:t>
      </w:r>
      <w:proofErr w:type="spellStart"/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Facade</w:t>
      </w:r>
      <w:proofErr w:type="spellEnd"/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</w:t>
      </w:r>
      <w:proofErr w:type="spellStart"/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Value</w:t>
      </w:r>
      <w:proofErr w:type="spellEnd"/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proofErr w:type="spellStart"/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Object</w:t>
      </w:r>
      <w:proofErr w:type="spellEnd"/>
    </w:p>
    <w:p w14:paraId="4CD1A236" w14:textId="77777777" w:rsidR="00CA50CE" w:rsidRPr="00EC1E19" w:rsidRDefault="00CA50CE" w:rsidP="00CA50CE">
      <w:pPr>
        <w:shd w:val="clear" w:color="auto" w:fill="FFFFFF"/>
        <w:spacing w:line="240" w:lineRule="auto"/>
        <w:ind w:left="720"/>
        <w:jc w:val="both"/>
        <w:rPr>
          <w:rFonts w:ascii="Roboto" w:eastAsia="Times New Roman" w:hAnsi="Roboto" w:cs="Times New Roman"/>
          <w:color w:val="333333"/>
          <w:sz w:val="20"/>
          <w:szCs w:val="20"/>
          <w:lang w:eastAsia="es-UY"/>
        </w:rPr>
      </w:pPr>
      <w:r w:rsidRPr="00EC1E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Diseño a nivel dinámico: Diagramas de comunicación de UML</w:t>
      </w:r>
      <w:r w:rsidRPr="00EC1E19">
        <w:rPr>
          <w:rFonts w:ascii="Verdana" w:eastAsia="Times New Roman" w:hAnsi="Verdana" w:cs="Times New Roman"/>
          <w:color w:val="000000"/>
          <w:sz w:val="20"/>
          <w:szCs w:val="20"/>
          <w:lang w:eastAsia="es-UY"/>
        </w:rPr>
        <w:t> </w:t>
      </w:r>
    </w:p>
    <w:p w14:paraId="1A74E1B0" w14:textId="77777777" w:rsidR="00F961AB" w:rsidRDefault="00F961AB"/>
    <w:sectPr w:rsidR="00F961A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01C14" w14:textId="77777777" w:rsidR="00EC1E19" w:rsidRDefault="00EC1E19" w:rsidP="00EC1E19">
      <w:pPr>
        <w:spacing w:after="0" w:line="240" w:lineRule="auto"/>
      </w:pPr>
      <w:r>
        <w:separator/>
      </w:r>
    </w:p>
  </w:endnote>
  <w:endnote w:type="continuationSeparator" w:id="0">
    <w:p w14:paraId="3E35775E" w14:textId="77777777" w:rsidR="00EC1E19" w:rsidRDefault="00EC1E19" w:rsidP="00EC1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B947C" w14:textId="77777777" w:rsidR="00EC1E19" w:rsidRDefault="00EC1E19" w:rsidP="00EC1E19">
      <w:pPr>
        <w:spacing w:after="0" w:line="240" w:lineRule="auto"/>
      </w:pPr>
      <w:r>
        <w:separator/>
      </w:r>
    </w:p>
  </w:footnote>
  <w:footnote w:type="continuationSeparator" w:id="0">
    <w:p w14:paraId="489CD955" w14:textId="77777777" w:rsidR="00EC1E19" w:rsidRDefault="00EC1E19" w:rsidP="00EC1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CC91" w14:textId="68613663" w:rsidR="00EC1E19" w:rsidRDefault="00EC1E19" w:rsidP="00EC1E19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1E129C" wp14:editId="1BCB7C03">
          <wp:simplePos x="0" y="0"/>
          <wp:positionH relativeFrom="column">
            <wp:posOffset>5435600</wp:posOffset>
          </wp:positionH>
          <wp:positionV relativeFrom="paragraph">
            <wp:posOffset>-311150</wp:posOffset>
          </wp:positionV>
          <wp:extent cx="768350" cy="732155"/>
          <wp:effectExtent l="0" t="0" r="0" b="0"/>
          <wp:wrapNone/>
          <wp:docPr id="1" name="Imagen 1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2" t="5035" r="12750" b="5618"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scadia Mono Light" w:hAnsi="Cascadia Mono Light" w:cs="Cascadia Mono Light"/>
        <w:sz w:val="20"/>
        <w:szCs w:val="20"/>
      </w:rPr>
      <w:t>Programación II – Unidad III</w:t>
    </w:r>
  </w:p>
  <w:p w14:paraId="66080C67" w14:textId="74704FC0" w:rsidR="00EC1E19" w:rsidRPr="00EC1E19" w:rsidRDefault="00EC1E19" w:rsidP="00EC1E19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BCC171" wp14:editId="21E3A052">
              <wp:simplePos x="0" y="0"/>
              <wp:positionH relativeFrom="column">
                <wp:posOffset>-699770</wp:posOffset>
              </wp:positionH>
              <wp:positionV relativeFrom="paragraph">
                <wp:posOffset>263525</wp:posOffset>
              </wp:positionV>
              <wp:extent cx="6908165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530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C50ED5" id="Conector recto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" strokecolor="black [3200]">
              <v:stroke dashstyle="dash"/>
            </v:line>
          </w:pict>
        </mc:Fallback>
      </mc:AlternateContent>
    </w:r>
    <w:r>
      <w:rPr>
        <w:rFonts w:ascii="Cascadia Mono Light" w:hAnsi="Cascadia Mono Light" w:cs="Cascadia Mono Light"/>
        <w:sz w:val="20"/>
        <w:szCs w:val="20"/>
      </w:rPr>
      <w:t xml:space="preserve">Profesorado Semipresencial </w:t>
    </w:r>
    <w:proofErr w:type="spellStart"/>
    <w:r>
      <w:rPr>
        <w:rFonts w:ascii="Cascadia Mono Light" w:hAnsi="Cascadia Mono Light" w:cs="Cascadia Mono Light"/>
        <w:sz w:val="20"/>
        <w:szCs w:val="20"/>
      </w:rPr>
      <w:t>Cerp</w:t>
    </w:r>
    <w:proofErr w:type="spellEnd"/>
    <w:r>
      <w:rPr>
        <w:rFonts w:ascii="Cascadia Mono Light" w:hAnsi="Cascadia Mono Light" w:cs="Cascadia Mono Light"/>
        <w:sz w:val="20"/>
        <w:szCs w:val="20"/>
      </w:rPr>
      <w:t xml:space="preserve"> SW Colonia – Milagros Pozzo </w:t>
    </w:r>
    <w:proofErr w:type="spellStart"/>
    <w:r>
      <w:rPr>
        <w:rFonts w:ascii="Cascadia Mono Light" w:hAnsi="Cascadia Mono Light" w:cs="Cascadia Mono Light"/>
        <w:sz w:val="20"/>
        <w:szCs w:val="20"/>
      </w:rPr>
      <w:t>Fasini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CE"/>
    <w:rsid w:val="00CA50CE"/>
    <w:rsid w:val="00EC1E19"/>
    <w:rsid w:val="00F9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70A6143"/>
  <w15:chartTrackingRefBased/>
  <w15:docId w15:val="{D8BB0C6C-4B74-4060-9FC7-2FF09CE1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A50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50CE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s-page-title">
    <w:name w:val="s-page-title"/>
    <w:basedOn w:val="Fuentedeprrafopredeter"/>
    <w:rsid w:val="00CA50CE"/>
  </w:style>
  <w:style w:type="character" w:customStyle="1" w:styleId="label1ve0h59">
    <w:name w:val="_label_1ve0h_59"/>
    <w:basedOn w:val="Fuentedeprrafopredeter"/>
    <w:rsid w:val="00CA50CE"/>
  </w:style>
  <w:style w:type="paragraph" w:styleId="NormalWeb">
    <w:name w:val="Normal (Web)"/>
    <w:basedOn w:val="Normal"/>
    <w:uiPriority w:val="99"/>
    <w:semiHidden/>
    <w:unhideWhenUsed/>
    <w:rsid w:val="00CA5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EC1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E19"/>
  </w:style>
  <w:style w:type="paragraph" w:styleId="Piedepgina">
    <w:name w:val="footer"/>
    <w:basedOn w:val="Normal"/>
    <w:link w:val="PiedepginaCar"/>
    <w:uiPriority w:val="99"/>
    <w:unhideWhenUsed/>
    <w:rsid w:val="00EC1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7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32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9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8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49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2</cp:revision>
  <dcterms:created xsi:type="dcterms:W3CDTF">2025-03-24T22:28:00Z</dcterms:created>
  <dcterms:modified xsi:type="dcterms:W3CDTF">2025-09-03T22:04:00Z</dcterms:modified>
</cp:coreProperties>
</file>