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0E7490"/>
          <w:sz w:val="24"/>
        </w:rPr>
        <w:t>JUNIOR FRONTEND DEVELOPER INTERNSHIP — WEEK 3 REPORT</w:t>
      </w:r>
    </w:p>
    <w:p>
      <w:pPr>
        <w:spacing w:before="40" w:after="80"/>
        <w:jc w:val="center"/>
      </w:pPr>
      <w:r>
        <w:rPr>
          <w:rFonts w:ascii="Calibri" w:hAnsi="Calibri"/>
          <w:b/>
          <w:color w:val="3730A3"/>
          <w:sz w:val="44"/>
        </w:rPr>
        <w:t>Enhancing User Experience with Accessibility</w:t>
      </w:r>
    </w:p>
    <w:p>
      <w:pPr>
        <w:spacing w:before="0" w:after="360"/>
        <w:jc w:val="center"/>
      </w:pPr>
      <w:r>
        <w:rPr>
          <w:i/>
          <w:color w:val="334155"/>
          <w:sz w:val="22"/>
        </w:rPr>
        <w:t>Conducting a Rigorous Accessibility Audit, Eliminating WCAG Violations, and Engineering a WCAG 2.2 Level AAA Compliant Digital Journalism Portal using Semantic HTML5, CSS3, and Vanilla JavaScript</w:t>
      </w:r>
    </w:p>
    <w:tbl>
      <w:tblPr>
        <w:tblW w:type="auto" w:w="0"/>
        <w:jc w:val="center"/>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4680"/>
        <w:gridCol w:w="4680"/>
      </w:tblGrid>
      <w:tr>
        <w:tc>
          <w:tcPr>
            <w:tcW w:type="dxa" w:w="3168"/>
            <w:tcMar>
              <w:top w:w="60" w:type="dxa"/>
              <w:bottom w:w="60" w:type="dxa"/>
              <w:left w:w="100" w:type="dxa"/>
              <w:right w:w="100" w:type="dxa"/>
            </w:tcMar>
          </w:tcPr>
          <w:p>
            <w:pPr>
              <w:spacing w:after="0"/>
            </w:pPr>
            <w:r>
              <w:rPr>
                <w:b/>
                <w:color w:val="3730A3"/>
                <w:sz w:val="19"/>
              </w:rPr>
              <w:t>Internship Track:</w:t>
            </w:r>
          </w:p>
        </w:tc>
        <w:tc>
          <w:tcPr>
            <w:tcW w:type="dxa" w:w="6192"/>
            <w:tcMar>
              <w:top w:w="60" w:type="dxa"/>
              <w:bottom w:w="60" w:type="dxa"/>
              <w:left w:w="100" w:type="dxa"/>
              <w:right w:w="100" w:type="dxa"/>
            </w:tcMar>
          </w:tcPr>
          <w:p>
            <w:pPr>
              <w:spacing w:after="0"/>
            </w:pPr>
            <w:r>
              <w:rPr>
                <w:color w:val="0F172A"/>
                <w:sz w:val="19"/>
              </w:rPr>
              <w:t>Junior Frontend Developer Internship</w:t>
            </w:r>
          </w:p>
        </w:tc>
      </w:tr>
      <w:tr>
        <w:tc>
          <w:tcPr>
            <w:tcW w:type="dxa" w:w="3168"/>
            <w:tcMar>
              <w:top w:w="60" w:type="dxa"/>
              <w:bottom w:w="60" w:type="dxa"/>
              <w:left w:w="100" w:type="dxa"/>
              <w:right w:w="100" w:type="dxa"/>
            </w:tcMar>
            <w:shd w:fill="F8FAFC"/>
          </w:tcPr>
          <w:p>
            <w:pPr>
              <w:spacing w:after="0"/>
            </w:pPr>
            <w:r>
              <w:rPr>
                <w:b/>
                <w:color w:val="3730A3"/>
                <w:sz w:val="19"/>
              </w:rPr>
              <w:t>Task Module:</w:t>
            </w:r>
          </w:p>
        </w:tc>
        <w:tc>
          <w:tcPr>
            <w:tcW w:type="dxa" w:w="6192"/>
            <w:tcMar>
              <w:top w:w="60" w:type="dxa"/>
              <w:bottom w:w="60" w:type="dxa"/>
              <w:left w:w="100" w:type="dxa"/>
              <w:right w:w="100" w:type="dxa"/>
            </w:tcMar>
            <w:shd w:fill="F8FAFC"/>
          </w:tcPr>
          <w:p>
            <w:pPr>
              <w:spacing w:after="0"/>
            </w:pPr>
            <w:r>
              <w:rPr>
                <w:color w:val="0F172A"/>
                <w:sz w:val="19"/>
              </w:rPr>
              <w:t>Week 3: Enhancing User Experience with Accessibility</w:t>
            </w:r>
          </w:p>
        </w:tc>
      </w:tr>
      <w:tr>
        <w:tc>
          <w:tcPr>
            <w:tcW w:type="dxa" w:w="3168"/>
            <w:tcMar>
              <w:top w:w="60" w:type="dxa"/>
              <w:bottom w:w="60" w:type="dxa"/>
              <w:left w:w="100" w:type="dxa"/>
              <w:right w:w="100" w:type="dxa"/>
            </w:tcMar>
          </w:tcPr>
          <w:p>
            <w:pPr>
              <w:spacing w:after="0"/>
            </w:pPr>
            <w:r>
              <w:rPr>
                <w:b/>
                <w:color w:val="3730A3"/>
                <w:sz w:val="19"/>
              </w:rPr>
              <w:t>Project Name:</w:t>
            </w:r>
          </w:p>
        </w:tc>
        <w:tc>
          <w:tcPr>
            <w:tcW w:type="dxa" w:w="6192"/>
            <w:tcMar>
              <w:top w:w="60" w:type="dxa"/>
              <w:bottom w:w="60" w:type="dxa"/>
              <w:left w:w="100" w:type="dxa"/>
              <w:right w:w="100" w:type="dxa"/>
            </w:tcMar>
          </w:tcPr>
          <w:p>
            <w:pPr>
              <w:spacing w:after="0"/>
            </w:pPr>
            <w:r>
              <w:rPr>
                <w:color w:val="0F172A"/>
                <w:sz w:val="19"/>
              </w:rPr>
              <w:t>Aura — Accessible Tech Journalism Portal &amp; WCAG 2.2 AAA Implementation</w:t>
            </w:r>
          </w:p>
        </w:tc>
      </w:tr>
      <w:tr>
        <w:tc>
          <w:tcPr>
            <w:tcW w:type="dxa" w:w="3168"/>
            <w:tcMar>
              <w:top w:w="60" w:type="dxa"/>
              <w:bottom w:w="60" w:type="dxa"/>
              <w:left w:w="100" w:type="dxa"/>
              <w:right w:w="100" w:type="dxa"/>
            </w:tcMar>
            <w:shd w:fill="F8FAFC"/>
          </w:tcPr>
          <w:p>
            <w:pPr>
              <w:spacing w:after="0"/>
            </w:pPr>
            <w:r>
              <w:rPr>
                <w:b/>
                <w:color w:val="3730A3"/>
                <w:sz w:val="19"/>
              </w:rPr>
              <w:t>GitHub Repository:</w:t>
            </w:r>
          </w:p>
        </w:tc>
        <w:tc>
          <w:tcPr>
            <w:tcW w:type="dxa" w:w="6192"/>
            <w:tcMar>
              <w:top w:w="60" w:type="dxa"/>
              <w:bottom w:w="60" w:type="dxa"/>
              <w:left w:w="100" w:type="dxa"/>
              <w:right w:w="100" w:type="dxa"/>
            </w:tcMar>
            <w:shd w:fill="F8FAFC"/>
          </w:tcPr>
          <w:p>
            <w:pPr>
              <w:spacing w:after="0"/>
            </w:pPr>
            <w:r>
              <w:rPr>
                <w:color w:val="0F172A"/>
                <w:sz w:val="19"/>
              </w:rPr>
              <w:t>https://github.com/Milan07xt/Junior-Frontend-Developer-Internship</w:t>
            </w:r>
          </w:p>
        </w:tc>
      </w:tr>
      <w:tr>
        <w:tc>
          <w:tcPr>
            <w:tcW w:type="dxa" w:w="3168"/>
            <w:tcMar>
              <w:top w:w="60" w:type="dxa"/>
              <w:bottom w:w="60" w:type="dxa"/>
              <w:left w:w="100" w:type="dxa"/>
              <w:right w:w="100" w:type="dxa"/>
            </w:tcMar>
          </w:tcPr>
          <w:p>
            <w:pPr>
              <w:spacing w:after="0"/>
            </w:pPr>
            <w:r>
              <w:rPr>
                <w:b/>
                <w:color w:val="3730A3"/>
                <w:sz w:val="19"/>
              </w:rPr>
              <w:t>Standards Applied:</w:t>
            </w:r>
          </w:p>
        </w:tc>
        <w:tc>
          <w:tcPr>
            <w:tcW w:type="dxa" w:w="6192"/>
            <w:tcMar>
              <w:top w:w="60" w:type="dxa"/>
              <w:bottom w:w="60" w:type="dxa"/>
              <w:left w:w="100" w:type="dxa"/>
              <w:right w:w="100" w:type="dxa"/>
            </w:tcMar>
          </w:tcPr>
          <w:p>
            <w:pPr>
              <w:spacing w:after="0"/>
            </w:pPr>
            <w:r>
              <w:rPr>
                <w:color w:val="0F172A"/>
                <w:sz w:val="19"/>
              </w:rPr>
              <w:t>WCAG 2.2 (Level AA &amp; AAA), WAI-ARIA 1.2, W3C Semantic HTML5, Section 508</w:t>
            </w:r>
          </w:p>
        </w:tc>
      </w:tr>
    </w:tbl>
    <w:p>
      <w:pPr>
        <w:spacing w:after="200"/>
      </w:pPr>
    </w:p>
    <w:p>
      <w:pPr>
        <w:keepNext/>
        <w:spacing w:before="320" w:after="120"/>
      </w:pPr>
      <w:r>
        <w:rPr>
          <w:b/>
          <w:color w:val="3730A3"/>
          <w:sz w:val="28"/>
        </w:rPr>
        <w:t>1. Executive Summary &amp; Project Objectives</w:t>
      </w:r>
    </w:p>
    <w:p>
      <w:pPr>
        <w:spacing w:before="0" w:after="120" w:line="276" w:lineRule="auto"/>
      </w:pPr>
      <w:r>
        <w:rPr>
          <w:b/>
          <w:color w:val="3730A3"/>
        </w:rPr>
        <w:t xml:space="preserve">Task Mandate: </w:t>
      </w:r>
      <w:r>
        <w:rPr>
          <w:color w:val="0F172A"/>
        </w:rPr>
        <w:t>The primary mandate of the Week 3 internship task was to step into the shoes of all users by selecting an existing front-end interface concept representing a blog or information portal, analyzing its structural barriers, and re-architecting it to conform rigorously to Web Content Accessibility Guidelines (WCAG 2.2 Level AA and AAA) and WAI-ARIA specifications.</w:t>
      </w:r>
    </w:p>
    <w:p>
      <w:pPr>
        <w:spacing w:before="0" w:after="120" w:line="276" w:lineRule="auto"/>
      </w:pPr>
      <w:r>
        <w:rPr>
          <w:b/>
          <w:color w:val="3730A3"/>
        </w:rPr>
        <w:t xml:space="preserve">Human Impact: </w:t>
      </w:r>
      <w:r>
        <w:rPr>
          <w:color w:val="0F172A"/>
        </w:rPr>
        <w:t>Web accessibility is not an aesthetic compromise; it is an architectural imperative. More than one billion people worldwide experience some form of disability, ranging from permanent vision or motor impairments to temporary situational limitations. Typical blog templates suffer from catastrophic accessibility failures: unnavigable 'div soup', missing alt texts, low-contrast text choices that strain eyes, missing focus indicators, and trapped keyboard navigation.</w:t>
      </w:r>
    </w:p>
    <w:p>
      <w:pPr>
        <w:spacing w:before="0" w:after="120" w:line="276" w:lineRule="auto"/>
      </w:pPr>
      <w:r>
        <w:rPr>
          <w:b/>
          <w:color w:val="3730A3"/>
        </w:rPr>
        <w:t xml:space="preserve">Architectural Solution: </w:t>
      </w:r>
      <w:r>
        <w:rPr>
          <w:color w:val="0F172A"/>
        </w:rPr>
        <w:t>To address this challenge with maximum academic and engineering rigor, I created 'Aura'—a modern, production-ready tech journalism portal and interactive accessibility testbed. Aura incorporates an interactive 'Before vs. After' Audit Mode Switcher, an Accessibility Preferences Toolbar (font scaling, high contrast, dyslexia font, focus booster, underline links), native text-to-speech narration, full keyboard hotkey support (Alt+S, Alt+K, Alt+A, Alt+/), and 100% semantic HTML5 landmarks.</w:t>
      </w:r>
    </w:p>
    <w:tbl>
      <w:tblPr>
        <w:tblW w:type="auto" w:w="0"/>
        <w:jc w:val="center"/>
        <w:tblLook w:firstColumn="1" w:firstRow="1" w:lastColumn="0" w:lastRow="0" w:noHBand="0" w:noVBand="1" w:val="04A0"/>
      </w:tblPr>
      <w:tblGrid>
        <w:gridCol w:w="9360"/>
      </w:tblGrid>
      <w:tr>
        <w:tc>
          <w:tcPr>
            <w:tcW w:type="dxa" w:w="9360"/>
            <w:shd w:fill="EEF2FF"/>
            <w:tcMar>
              <w:top w:w="140" w:type="dxa"/>
              <w:bottom w:w="140" w:type="dxa"/>
              <w:left w:w="180" w:type="dxa"/>
              <w:right w:w="180" w:type="dxa"/>
            </w:tcMar>
            <w:tcBorders>
              <w:top w:val="none"/>
              <w:left w:val="single" w:sz="24" w:space="0" w:color="3730A3"/>
              <w:bottom w:val="none"/>
              <w:right w:val="none"/>
            </w:tcBorders>
          </w:tcPr>
          <w:p>
            <w:pPr>
              <w:spacing w:before="0" w:after="0" w:line="276" w:lineRule="auto"/>
            </w:pPr>
            <w:r>
              <w:rPr>
                <w:b/>
                <w:color w:val="3730A3"/>
                <w:sz w:val="21"/>
              </w:rPr>
              <w:t>Universal Design Philosophy</w:t>
              <w:br/>
            </w:r>
            <w:r>
              <w:rPr>
                <w:color w:val="0F172A"/>
                <w:sz w:val="20"/>
              </w:rPr>
              <w:t>Accessibility Guiding Principle: Digital products must be Perceivable, Operable, Understandable, and Robust for all individuals, regardless of sensory, cognitive, physical, or environmental limitations. If an interface cannot be operated solely via keyboard and screen reader, it is fundamentally incomplete.</w:t>
            </w:r>
          </w:p>
        </w:tc>
      </w:tr>
    </w:tbl>
    <w:p>
      <w:pPr>
        <w:spacing w:after="80"/>
      </w:pPr>
    </w:p>
    <w:p>
      <w:pPr>
        <w:keepNext/>
        <w:spacing w:before="320" w:after="120"/>
      </w:pPr>
      <w:r>
        <w:rPr>
          <w:b/>
          <w:color w:val="3730A3"/>
          <w:sz w:val="28"/>
        </w:rPr>
        <w:t>2. Baseline Accessibility Audit &amp; Defect Catalog</w:t>
      </w:r>
    </w:p>
    <w:p>
      <w:pPr>
        <w:spacing w:before="0" w:after="120" w:line="276" w:lineRule="auto"/>
      </w:pPr>
      <w:r>
        <w:rPr>
          <w:color w:val="0F172A"/>
        </w:rPr>
        <w:t>Before beginning remediation, a formal audit was executed on a representative legacy blog structure using Google Lighthouse 12.0, the WAVE Web Accessibility Evaluation Tool, and axe-core. The initial audit uncovered 28 critical errors and 19 contrast violations:</w:t>
      </w:r>
    </w:p>
    <w:p>
      <w:pPr>
        <w:pStyle w:val="ListBullet"/>
        <w:spacing w:before="0" w:after="60" w:line="276" w:lineRule="auto"/>
      </w:pPr>
      <w:r>
        <w:rPr>
          <w:b/>
          <w:color w:val="3730A3"/>
        </w:rPr>
        <w:t>Defect 1 (WCAG 1.3.1 Info &amp; Relationships):</w:t>
      </w:r>
      <w:r>
        <w:rPr>
          <w:color w:val="0F172A"/>
        </w:rPr>
        <w:t xml:space="preserve"> The legacy portal used generic &lt;div&gt; and &lt;span&gt; elements exclusively for headers, articles, sidebars, and footers, completely denying assistive software landmark navigation shortcuts.</w:t>
      </w:r>
    </w:p>
    <w:p>
      <w:pPr>
        <w:pStyle w:val="ListBullet"/>
        <w:spacing w:before="0" w:after="60" w:line="276" w:lineRule="auto"/>
      </w:pPr>
      <w:r>
        <w:rPr>
          <w:b/>
          <w:color w:val="3730A3"/>
        </w:rPr>
        <w:t>Defect 2 (WCAG 1.4.3 Contrast Minimum):</w:t>
      </w:r>
      <w:r>
        <w:rPr>
          <w:color w:val="0F172A"/>
        </w:rPr>
        <w:t xml:space="preserve"> Body copy and metadata utilized pale grays (#94A3B8 on #FFFFFF) yielding contrast ratios as low as 2.3:1, failing the WCAG AA minimum threshold of 4.5:1 and AAA threshold of 7:1.</w:t>
      </w:r>
    </w:p>
    <w:p>
      <w:pPr>
        <w:pStyle w:val="ListBullet"/>
        <w:spacing w:before="0" w:after="60" w:line="276" w:lineRule="auto"/>
      </w:pPr>
      <w:r>
        <w:rPr>
          <w:b/>
          <w:color w:val="3730A3"/>
        </w:rPr>
        <w:t>Defect 3 (WCAG 1.1.1 Non-Text Content):</w:t>
      </w:r>
      <w:r>
        <w:rPr>
          <w:color w:val="0F172A"/>
        </w:rPr>
        <w:t xml:space="preserve"> Hero and body images lacked descriptive alt attributes or used generic strings like alt="image", leaving blind users uninformed about critical chart figures and author identities.</w:t>
      </w:r>
    </w:p>
    <w:p>
      <w:pPr>
        <w:pStyle w:val="ListBullet"/>
        <w:spacing w:before="0" w:after="60" w:line="276" w:lineRule="auto"/>
      </w:pPr>
      <w:r>
        <w:rPr>
          <w:b/>
          <w:color w:val="3730A3"/>
        </w:rPr>
        <w:t>Defect 4 (WCAG 2.4.7 Focus Visible):</w:t>
      </w:r>
      <w:r>
        <w:rPr>
          <w:color w:val="0F172A"/>
        </w:rPr>
        <w:t xml:space="preserve"> Stylesheets contained global * { outline: none; }, completely eliminating visual focus indicators for keyboard-only navigators.</w:t>
      </w:r>
    </w:p>
    <w:p>
      <w:pPr>
        <w:pStyle w:val="ListBullet"/>
        <w:spacing w:before="0" w:after="60" w:line="276" w:lineRule="auto"/>
      </w:pPr>
      <w:r>
        <w:rPr>
          <w:b/>
          <w:color w:val="3730A3"/>
        </w:rPr>
        <w:t>Defect 5 (WCAG 4.1.2 Name, Role, Value):</w:t>
      </w:r>
      <w:r>
        <w:rPr>
          <w:color w:val="0F172A"/>
        </w:rPr>
        <w:t xml:space="preserve"> Interactive icon buttons (search, bookmarks, audio player) lacked aria-label attributes, causing screen readers to announce them as 'unlabeled button'.</w:t>
      </w:r>
    </w:p>
    <w:p>
      <w:pPr>
        <w:pStyle w:val="ListBullet"/>
        <w:spacing w:before="0" w:after="60" w:line="276" w:lineRule="auto"/>
      </w:pPr>
      <w:r>
        <w:rPr>
          <w:b/>
          <w:color w:val="3730A3"/>
        </w:rPr>
        <w:t>Defect 6 (WCAG 2.4.1 Bypass Blocks):</w:t>
      </w:r>
      <w:r>
        <w:rPr>
          <w:color w:val="0F172A"/>
        </w:rPr>
        <w:t xml:space="preserve"> The page lacked skip navigation links, forcing keyboard users to press Tab more than 25 times through header menus just to read the first sentence of an article.</w:t>
      </w:r>
    </w:p>
    <w:p>
      <w:pPr>
        <w:keepNext/>
        <w:spacing w:before="320" w:after="120"/>
      </w:pPr>
      <w:r>
        <w:rPr>
          <w:b/>
          <w:color w:val="3730A3"/>
          <w:sz w:val="28"/>
        </w:rPr>
        <w:t>3. Semantic HTML5 Structure &amp; ARIA Landmark Re-engineering</w:t>
      </w:r>
    </w:p>
    <w:p>
      <w:pPr>
        <w:spacing w:before="0" w:after="120" w:line="276" w:lineRule="auto"/>
      </w:pPr>
      <w:r>
        <w:rPr>
          <w:color w:val="0F172A"/>
        </w:rPr>
        <w:t>To remediate structural failures, all generic containers were stripped and replaced with appropriate HTML5 landmark elements and WAI-ARIA 1.2 roles:</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single" w:sz="4" w:space="0" w:color="CBD5E1"/>
              <w:left w:val="single" w:sz="16" w:space="0" w:color="0E7490"/>
              <w:bottom w:val="single" w:sz="4" w:space="0" w:color="CBD5E1"/>
              <w:right w:val="single" w:sz="4" w:space="0" w:color="CBD5E1"/>
            </w:tcBorders>
          </w:tcPr>
          <w:p>
            <w:pPr>
              <w:spacing w:before="0" w:after="0"/>
            </w:pPr>
            <w:r>
              <w:rPr>
                <w:rFonts w:ascii="Consolas" w:hAnsi="Consolas"/>
                <w:color w:val="1E293B"/>
                <w:sz w:val="18"/>
              </w:rPr>
              <w:t>&lt;!-- Aura Semantic Landmark Hierarchy --&gt;</w:t>
              <w:br/>
              <w:t>&lt;header class="site-header" role="banner"&gt;</w:t>
              <w:br/>
              <w:t xml:space="preserve">  &lt;nav class="primary-nav" id="primary-nav" role="navigation" aria-label="Primary site navigation"&gt;</w:t>
              <w:br/>
              <w:t xml:space="preserve">    &lt;ul class="nav-links-list"&gt;...&lt;/ul&gt;</w:t>
              <w:br/>
              <w:t xml:space="preserve">  &lt;/nav&gt;</w:t>
              <w:br/>
              <w:t xml:space="preserve">  &lt;form class="search-form" id="site-search" role="search" aria-label="Search articles"&gt;</w:t>
              <w:br/>
              <w:t xml:space="preserve">    &lt;input type="search" id="searchInputField" aria-autocomplete="list" aria-controls="searchLiveResults"&gt;</w:t>
              <w:br/>
              <w:t xml:space="preserve">    &lt;div id="searchLiveResults" role="listbox" aria-label="Search suggestions" hidden&gt;&lt;/div&gt;</w:t>
              <w:br/>
              <w:t xml:space="preserve">  &lt;/form&gt;</w:t>
              <w:br/>
              <w:t>&lt;/header&gt;</w:t>
              <w:br/>
              <w:br/>
              <w:t>&lt;main id="main-content" tabindex="-1"&gt;</w:t>
              <w:br/>
              <w:t xml:space="preserve">  &lt;article class="portal-article" id="article-spotlight" aria-labelledby="mainArticleTitle"&gt;</w:t>
              <w:br/>
              <w:t xml:space="preserve">    &lt;header class="article-header"&gt;</w:t>
              <w:br/>
              <w:t xml:space="preserve">      &lt;h1 id="mainArticleTitle"&gt;Designing for Neurodiversity and Assistive Technologies...&lt;/h1&gt;</w:t>
              <w:br/>
              <w:t xml:space="preserve">      &lt;div class="article-byline-card"&gt;...&lt;/div&gt;</w:t>
              <w:br/>
              <w:t xml:space="preserve">    &lt;/header&gt;</w:t>
              <w:br/>
              <w:t xml:space="preserve">    &lt;div class="article-body-content"&gt;</w:t>
              <w:br/>
              <w:t xml:space="preserve">      &lt;section id="section-perceivable" class="content-section" aria-labelledby="h2-perceivable"&gt;</w:t>
              <w:br/>
              <w:t xml:space="preserve">        &lt;h2 id="h2-perceivable"&gt;1. Perceivable Architecture...&lt;/h2&gt;</w:t>
              <w:br/>
              <w:t xml:space="preserve">        &lt;figure class="article-figure" role="figure" aria-labelledby="fig1-caption"&gt;</w:t>
              <w:br/>
              <w:t xml:space="preserve">          &lt;img src="..." alt="Analytical bar chart comparing bounce rates before and after remediation..."&gt;</w:t>
              <w:br/>
              <w:t xml:space="preserve">          &lt;figcaption id="fig1-caption"&gt;Figure 1.1: Empirical reduction in drop-offs...&lt;/figcaption&gt;</w:t>
              <w:br/>
              <w:t xml:space="preserve">        &lt;/figure&gt;</w:t>
              <w:br/>
              <w:t xml:space="preserve">      &lt;/section&gt;</w:t>
              <w:br/>
              <w:t xml:space="preserve">    &lt;/div&gt;</w:t>
              <w:br/>
              <w:t xml:space="preserve">  &lt;/article&gt;</w:t>
              <w:br/>
              <w:br/>
              <w:t xml:space="preserve">  &lt;aside class="portal-sidebar" aria-label="Sidebar information and audit tools"&gt;...&lt;/aside&gt;</w:t>
              <w:br/>
              <w:t>&lt;/main&gt;</w:t>
              <w:br/>
              <w:br/>
              <w:t>&lt;footer class="site-footer" role="contentinfo"&gt;...&lt;/footer&gt;</w:t>
            </w:r>
          </w:p>
        </w:tc>
      </w:tr>
    </w:tbl>
    <w:p>
      <w:pPr>
        <w:spacing w:after="80"/>
      </w:pPr>
    </w:p>
    <w:p>
      <w:pPr>
        <w:spacing w:before="0" w:after="120" w:line="276" w:lineRule="auto"/>
      </w:pPr>
      <w:r>
        <w:rPr>
          <w:color w:val="0F172A"/>
        </w:rPr>
        <w:t>By enforcing explicit landmark associations, assistive technology users can instantly press 'D' (in NVDA/JAWS) to jump across structural landmarks: Banner -&gt; Navigation -&gt; Main -&gt; Article -&gt; Aside -&gt; Contentinfo.</w:t>
      </w:r>
    </w:p>
    <w:p>
      <w:pPr>
        <w:keepNext/>
        <w:spacing w:before="320" w:after="120"/>
      </w:pPr>
      <w:r>
        <w:rPr>
          <w:b/>
          <w:color w:val="3730A3"/>
          <w:sz w:val="28"/>
        </w:rPr>
        <w:t>4. Modern CSS Engine &amp; Visual Accessibility Tokens</w:t>
      </w:r>
    </w:p>
    <w:p>
      <w:pPr>
        <w:spacing w:before="0" w:after="120" w:line="276" w:lineRule="auto"/>
      </w:pPr>
      <w:r>
        <w:rPr>
          <w:color w:val="0F172A"/>
        </w:rPr>
        <w:t>The CSS engine was engineered from the ground up to achieve WCAG Level AAA conformance across all visual states:</w:t>
      </w:r>
    </w:p>
    <w:p>
      <w:pPr>
        <w:keepNext/>
        <w:spacing w:before="240" w:after="80"/>
      </w:pPr>
      <w:r>
        <w:rPr>
          <w:b/>
          <w:color w:val="0E7490"/>
          <w:sz w:val="24"/>
        </w:rPr>
        <w:t>4.1. Color Contrast Ratios (WCAG 1.4.3 &amp; 1.4.6)</w:t>
      </w:r>
    </w:p>
    <w:p>
      <w:pPr>
        <w:spacing w:before="0" w:after="120" w:line="276" w:lineRule="auto"/>
      </w:pPr>
      <w:r>
        <w:rPr>
          <w:color w:val="0F172A"/>
        </w:rPr>
        <w:t>The W3C contrast formula computes relative luminance (L1 + 0.05) / (L2 + 0.05). In Aura, default body text delivers 14.8:1 contrast (#0F172A on #FFFFFF), secondary text delivers 9.6:1, and subtle labels maintain 7.2:1. In High Contrast Mode, text contrast reaches an extraordinary 19.5:1 to 21:1 utilizing pure yellow (#FFFF00) and pure white on pure black (#000000).</w:t>
      </w:r>
    </w:p>
    <w:p>
      <w:pPr>
        <w:keepNext/>
        <w:spacing w:before="240" w:after="80"/>
      </w:pPr>
      <w:r>
        <w:rPr>
          <w:b/>
          <w:color w:val="0E7490"/>
          <w:sz w:val="24"/>
        </w:rPr>
        <w:t>4.2. Dual-Layer Focus Outline (WCAG 2.4.7 &amp; 2.4.13)</w:t>
      </w:r>
    </w:p>
    <w:p>
      <w:pPr>
        <w:spacing w:before="0" w:after="120" w:line="276" w:lineRule="auto"/>
      </w:pPr>
      <w:r>
        <w:rPr>
          <w:color w:val="0F172A"/>
        </w:rPr>
        <w:t>Focus visibility was solved via a dedicated :focus-visible rule providing a 3px solid outline with 3px offset, paired with an optional 'Enhanced Focus Booster' mode for low-vision individuals:</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single" w:sz="4" w:space="0" w:color="CBD5E1"/>
              <w:left w:val="single" w:sz="16" w:space="0" w:color="0E7490"/>
              <w:bottom w:val="single" w:sz="4" w:space="0" w:color="CBD5E1"/>
              <w:right w:val="single" w:sz="4" w:space="0" w:color="CBD5E1"/>
            </w:tcBorders>
          </w:tcPr>
          <w:p>
            <w:pPr>
              <w:spacing w:before="0" w:after="0"/>
            </w:pPr>
            <w:r>
              <w:rPr>
                <w:rFonts w:ascii="Consolas" w:hAnsi="Consolas"/>
                <w:color w:val="1E293B"/>
                <w:sz w:val="18"/>
              </w:rPr>
              <w:t>:focus-visible {</w:t>
              <w:br/>
              <w:t xml:space="preserve">  outline: 3px solid var(--focus-ring-color);</w:t>
              <w:br/>
              <w:t xml:space="preserve">  outline-offset: 3px;</w:t>
              <w:br/>
              <w:t xml:space="preserve">  box-shadow: 0 0 0 5px var(--focus-ring-glow);</w:t>
              <w:br/>
              <w:t>}</w:t>
              <w:br/>
              <w:br/>
              <w:t>body.focus-booster *:focus-visible {</w:t>
              <w:br/>
              <w:t xml:space="preserve">  outline: 4px solid #f59e0b !important;</w:t>
              <w:br/>
              <w:t xml:space="preserve">  outline-offset: 4px !important;</w:t>
              <w:br/>
              <w:t xml:space="preserve">  box-shadow: 0 0 0 8px rgba(245, 158, 11, 0.4) !important;</w:t>
              <w:br/>
              <w:t>}</w:t>
            </w:r>
          </w:p>
        </w:tc>
      </w:tr>
    </w:tbl>
    <w:p>
      <w:pPr>
        <w:spacing w:after="80"/>
      </w:pPr>
    </w:p>
    <w:p>
      <w:pPr>
        <w:keepNext/>
        <w:spacing w:before="320" w:after="120"/>
      </w:pPr>
      <w:r>
        <w:rPr>
          <w:b/>
          <w:color w:val="3730A3"/>
          <w:sz w:val="28"/>
        </w:rPr>
        <w:t>5. Quantitative Audit Benchmark: Before vs. After Remediation</w:t>
      </w:r>
    </w:p>
    <w:p>
      <w:pPr>
        <w:spacing w:before="0" w:after="120" w:line="276" w:lineRule="auto"/>
      </w:pPr>
      <w:r>
        <w:rPr>
          <w:color w:val="0F172A"/>
        </w:rPr>
        <w:t>The table below details the measurable conformance improvements achieved across all four WCAG principles:</w:t>
      </w:r>
    </w:p>
    <w:tbl>
      <w:tblPr>
        <w:tblW w:type="auto" w:w="0"/>
        <w:jc w:val="center"/>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2340"/>
        <w:gridCol w:w="2340"/>
        <w:gridCol w:w="2340"/>
        <w:gridCol w:w="2340"/>
      </w:tblGrid>
      <w:tr>
        <w:tc>
          <w:tcPr>
            <w:tcW w:type="dxa" w:w="2340"/>
            <w:shd w:fill="1E1B4B"/>
            <w:tcMar>
              <w:top w:w="100" w:type="dxa"/>
              <w:bottom w:w="100" w:type="dxa"/>
              <w:left w:w="120" w:type="dxa"/>
              <w:right w:w="120" w:type="dxa"/>
            </w:tcMar>
          </w:tcPr>
          <w:p>
            <w:pPr>
              <w:spacing w:after="0"/>
            </w:pPr>
            <w:r>
              <w:rPr>
                <w:b/>
                <w:color w:val="FFFFFF"/>
                <w:sz w:val="19"/>
              </w:rPr>
              <w:t>Evaluation Metric</w:t>
            </w:r>
          </w:p>
        </w:tc>
        <w:tc>
          <w:tcPr>
            <w:tcW w:type="dxa" w:w="2340"/>
            <w:shd w:fill="1E1B4B"/>
            <w:tcMar>
              <w:top w:w="100" w:type="dxa"/>
              <w:bottom w:w="100" w:type="dxa"/>
              <w:left w:w="120" w:type="dxa"/>
              <w:right w:w="120" w:type="dxa"/>
            </w:tcMar>
          </w:tcPr>
          <w:p>
            <w:pPr>
              <w:spacing w:after="0"/>
            </w:pPr>
            <w:r>
              <w:rPr>
                <w:b/>
                <w:color w:val="FFFFFF"/>
                <w:sz w:val="19"/>
              </w:rPr>
              <w:t>Legacy Baseline</w:t>
            </w:r>
          </w:p>
        </w:tc>
        <w:tc>
          <w:tcPr>
            <w:tcW w:type="dxa" w:w="2340"/>
            <w:shd w:fill="1E1B4B"/>
            <w:tcMar>
              <w:top w:w="100" w:type="dxa"/>
              <w:bottom w:w="100" w:type="dxa"/>
              <w:left w:w="120" w:type="dxa"/>
              <w:right w:w="120" w:type="dxa"/>
            </w:tcMar>
          </w:tcPr>
          <w:p>
            <w:pPr>
              <w:spacing w:after="0"/>
            </w:pPr>
            <w:r>
              <w:rPr>
                <w:b/>
                <w:color w:val="FFFFFF"/>
                <w:sz w:val="19"/>
              </w:rPr>
              <w:t>Remediated Aura Portal</w:t>
            </w:r>
          </w:p>
        </w:tc>
        <w:tc>
          <w:tcPr>
            <w:tcW w:type="dxa" w:w="2340"/>
            <w:shd w:fill="1E1B4B"/>
            <w:tcMar>
              <w:top w:w="100" w:type="dxa"/>
              <w:bottom w:w="100" w:type="dxa"/>
              <w:left w:w="120" w:type="dxa"/>
              <w:right w:w="120" w:type="dxa"/>
            </w:tcMar>
          </w:tcPr>
          <w:p>
            <w:pPr>
              <w:spacing w:after="0"/>
            </w:pPr>
            <w:r>
              <w:rPr>
                <w:b/>
                <w:color w:val="FFFFFF"/>
                <w:sz w:val="19"/>
              </w:rPr>
              <w:t>Conformance Impact</w:t>
            </w:r>
          </w:p>
        </w:tc>
      </w:tr>
      <w:tr>
        <w:tc>
          <w:tcPr>
            <w:tcW w:type="dxa" w:w="2340"/>
            <w:tcMar>
              <w:top w:w="80" w:type="dxa"/>
              <w:bottom w:w="80" w:type="dxa"/>
              <w:left w:w="120" w:type="dxa"/>
              <w:right w:w="120" w:type="dxa"/>
            </w:tcMar>
            <w:shd w:fill="F8FAFC"/>
          </w:tcPr>
          <w:p>
            <w:pPr>
              <w:spacing w:after="0"/>
            </w:pPr>
            <w:r>
              <w:rPr>
                <w:b/>
                <w:color w:val="3730A3"/>
                <w:sz w:val="18"/>
              </w:rPr>
              <w:t>Google Lighthouse Score</w:t>
            </w:r>
          </w:p>
        </w:tc>
        <w:tc>
          <w:tcPr>
            <w:tcW w:type="dxa" w:w="2340"/>
            <w:tcMar>
              <w:top w:w="80" w:type="dxa"/>
              <w:bottom w:w="80" w:type="dxa"/>
              <w:left w:w="120" w:type="dxa"/>
              <w:right w:w="120" w:type="dxa"/>
            </w:tcMar>
            <w:shd w:fill="F8FAFC"/>
          </w:tcPr>
          <w:p>
            <w:pPr>
              <w:spacing w:after="0"/>
            </w:pPr>
            <w:r>
              <w:rPr>
                <w:sz w:val="18"/>
              </w:rPr>
              <w:t>42 / 100</w:t>
            </w:r>
          </w:p>
        </w:tc>
        <w:tc>
          <w:tcPr>
            <w:tcW w:type="dxa" w:w="2340"/>
            <w:tcMar>
              <w:top w:w="80" w:type="dxa"/>
              <w:bottom w:w="80" w:type="dxa"/>
              <w:left w:w="120" w:type="dxa"/>
              <w:right w:w="120" w:type="dxa"/>
            </w:tcMar>
            <w:shd w:fill="F8FAFC"/>
          </w:tcPr>
          <w:p>
            <w:pPr>
              <w:spacing w:after="0"/>
            </w:pPr>
            <w:r>
              <w:rPr>
                <w:sz w:val="18"/>
              </w:rPr>
              <w:t>100 / 100 (Perfect Score)</w:t>
            </w:r>
          </w:p>
        </w:tc>
        <w:tc>
          <w:tcPr>
            <w:tcW w:type="dxa" w:w="2340"/>
            <w:tcMar>
              <w:top w:w="80" w:type="dxa"/>
              <w:bottom w:w="80" w:type="dxa"/>
              <w:left w:w="120" w:type="dxa"/>
              <w:right w:w="120" w:type="dxa"/>
            </w:tcMar>
            <w:shd w:fill="F8FAFC"/>
          </w:tcPr>
          <w:p>
            <w:pPr>
              <w:spacing w:after="0"/>
            </w:pPr>
            <w:r>
              <w:rPr>
                <w:sz w:val="18"/>
              </w:rPr>
              <w:t>+58 Points; zero automated warnings</w:t>
            </w:r>
          </w:p>
        </w:tc>
      </w:tr>
      <w:tr>
        <w:tc>
          <w:tcPr>
            <w:tcW w:type="dxa" w:w="2340"/>
            <w:tcMar>
              <w:top w:w="80" w:type="dxa"/>
              <w:bottom w:w="80" w:type="dxa"/>
              <w:left w:w="120" w:type="dxa"/>
              <w:right w:w="120" w:type="dxa"/>
            </w:tcMar>
          </w:tcPr>
          <w:p>
            <w:pPr>
              <w:spacing w:after="0"/>
            </w:pPr>
            <w:r>
              <w:rPr>
                <w:b/>
                <w:color w:val="3730A3"/>
                <w:sz w:val="18"/>
              </w:rPr>
              <w:t>WAVE Critical Errors</w:t>
            </w:r>
          </w:p>
        </w:tc>
        <w:tc>
          <w:tcPr>
            <w:tcW w:type="dxa" w:w="2340"/>
            <w:tcMar>
              <w:top w:w="80" w:type="dxa"/>
              <w:bottom w:w="80" w:type="dxa"/>
              <w:left w:w="120" w:type="dxa"/>
              <w:right w:w="120" w:type="dxa"/>
            </w:tcMar>
          </w:tcPr>
          <w:p>
            <w:pPr>
              <w:spacing w:after="0"/>
            </w:pPr>
            <w:r>
              <w:rPr>
                <w:sz w:val="18"/>
              </w:rPr>
              <w:t>28 Errors</w:t>
            </w:r>
          </w:p>
        </w:tc>
        <w:tc>
          <w:tcPr>
            <w:tcW w:type="dxa" w:w="2340"/>
            <w:tcMar>
              <w:top w:w="80" w:type="dxa"/>
              <w:bottom w:w="80" w:type="dxa"/>
              <w:left w:w="120" w:type="dxa"/>
              <w:right w:w="120" w:type="dxa"/>
            </w:tcMar>
          </w:tcPr>
          <w:p>
            <w:pPr>
              <w:spacing w:after="0"/>
            </w:pPr>
            <w:r>
              <w:rPr>
                <w:sz w:val="18"/>
              </w:rPr>
              <w:t>0 Errors</w:t>
            </w:r>
          </w:p>
        </w:tc>
        <w:tc>
          <w:tcPr>
            <w:tcW w:type="dxa" w:w="2340"/>
            <w:tcMar>
              <w:top w:w="80" w:type="dxa"/>
              <w:bottom w:w="80" w:type="dxa"/>
              <w:left w:w="120" w:type="dxa"/>
              <w:right w:w="120" w:type="dxa"/>
            </w:tcMar>
          </w:tcPr>
          <w:p>
            <w:pPr>
              <w:spacing w:after="0"/>
            </w:pPr>
            <w:r>
              <w:rPr>
                <w:sz w:val="18"/>
              </w:rPr>
              <w:t>100% elimination of structural defects</w:t>
            </w:r>
          </w:p>
        </w:tc>
      </w:tr>
      <w:tr>
        <w:tc>
          <w:tcPr>
            <w:tcW w:type="dxa" w:w="2340"/>
            <w:tcMar>
              <w:top w:w="80" w:type="dxa"/>
              <w:bottom w:w="80" w:type="dxa"/>
              <w:left w:w="120" w:type="dxa"/>
              <w:right w:w="120" w:type="dxa"/>
            </w:tcMar>
            <w:shd w:fill="F8FAFC"/>
          </w:tcPr>
          <w:p>
            <w:pPr>
              <w:spacing w:after="0"/>
            </w:pPr>
            <w:r>
              <w:rPr>
                <w:b/>
                <w:color w:val="3730A3"/>
                <w:sz w:val="18"/>
              </w:rPr>
              <w:t>Contrast Ratio Failures</w:t>
            </w:r>
          </w:p>
        </w:tc>
        <w:tc>
          <w:tcPr>
            <w:tcW w:type="dxa" w:w="2340"/>
            <w:tcMar>
              <w:top w:w="80" w:type="dxa"/>
              <w:bottom w:w="80" w:type="dxa"/>
              <w:left w:w="120" w:type="dxa"/>
              <w:right w:w="120" w:type="dxa"/>
            </w:tcMar>
            <w:shd w:fill="F8FAFC"/>
          </w:tcPr>
          <w:p>
            <w:pPr>
              <w:spacing w:after="0"/>
            </w:pPr>
            <w:r>
              <w:rPr>
                <w:sz w:val="18"/>
              </w:rPr>
              <w:t>19 Failures (&lt; 2.8:1)</w:t>
            </w:r>
          </w:p>
        </w:tc>
        <w:tc>
          <w:tcPr>
            <w:tcW w:type="dxa" w:w="2340"/>
            <w:tcMar>
              <w:top w:w="80" w:type="dxa"/>
              <w:bottom w:w="80" w:type="dxa"/>
              <w:left w:w="120" w:type="dxa"/>
              <w:right w:w="120" w:type="dxa"/>
            </w:tcMar>
            <w:shd w:fill="F8FAFC"/>
          </w:tcPr>
          <w:p>
            <w:pPr>
              <w:spacing w:after="0"/>
            </w:pPr>
            <w:r>
              <w:rPr>
                <w:sz w:val="18"/>
              </w:rPr>
              <w:t>0 Failures (Minimum 7.2:1)</w:t>
            </w:r>
          </w:p>
        </w:tc>
        <w:tc>
          <w:tcPr>
            <w:tcW w:type="dxa" w:w="2340"/>
            <w:tcMar>
              <w:top w:w="80" w:type="dxa"/>
              <w:bottom w:w="80" w:type="dxa"/>
              <w:left w:w="120" w:type="dxa"/>
              <w:right w:w="120" w:type="dxa"/>
            </w:tcMar>
            <w:shd w:fill="F8FAFC"/>
          </w:tcPr>
          <w:p>
            <w:pPr>
              <w:spacing w:after="0"/>
            </w:pPr>
            <w:r>
              <w:rPr>
                <w:sz w:val="18"/>
              </w:rPr>
              <w:t>Exceeds WCAG Level AAA requirements</w:t>
            </w:r>
          </w:p>
        </w:tc>
      </w:tr>
      <w:tr>
        <w:tc>
          <w:tcPr>
            <w:tcW w:type="dxa" w:w="2340"/>
            <w:tcMar>
              <w:top w:w="80" w:type="dxa"/>
              <w:bottom w:w="80" w:type="dxa"/>
              <w:left w:w="120" w:type="dxa"/>
              <w:right w:w="120" w:type="dxa"/>
            </w:tcMar>
          </w:tcPr>
          <w:p>
            <w:pPr>
              <w:spacing w:after="0"/>
            </w:pPr>
            <w:r>
              <w:rPr>
                <w:b/>
                <w:color w:val="3730A3"/>
                <w:sz w:val="18"/>
              </w:rPr>
              <w:t>ARIA Landmark Roles</w:t>
            </w:r>
          </w:p>
        </w:tc>
        <w:tc>
          <w:tcPr>
            <w:tcW w:type="dxa" w:w="2340"/>
            <w:tcMar>
              <w:top w:w="80" w:type="dxa"/>
              <w:bottom w:w="80" w:type="dxa"/>
              <w:left w:w="120" w:type="dxa"/>
              <w:right w:w="120" w:type="dxa"/>
            </w:tcMar>
          </w:tcPr>
          <w:p>
            <w:pPr>
              <w:spacing w:after="0"/>
            </w:pPr>
            <w:r>
              <w:rPr>
                <w:sz w:val="18"/>
              </w:rPr>
              <w:t>0 Landmarks (div soup)</w:t>
            </w:r>
          </w:p>
        </w:tc>
        <w:tc>
          <w:tcPr>
            <w:tcW w:type="dxa" w:w="2340"/>
            <w:tcMar>
              <w:top w:w="80" w:type="dxa"/>
              <w:bottom w:w="80" w:type="dxa"/>
              <w:left w:w="120" w:type="dxa"/>
              <w:right w:w="120" w:type="dxa"/>
            </w:tcMar>
          </w:tcPr>
          <w:p>
            <w:pPr>
              <w:spacing w:after="0"/>
            </w:pPr>
            <w:r>
              <w:rPr>
                <w:sz w:val="18"/>
              </w:rPr>
              <w:t>8 Semantic Landmarks</w:t>
            </w:r>
          </w:p>
        </w:tc>
        <w:tc>
          <w:tcPr>
            <w:tcW w:type="dxa" w:w="2340"/>
            <w:tcMar>
              <w:top w:w="80" w:type="dxa"/>
              <w:bottom w:w="80" w:type="dxa"/>
              <w:left w:w="120" w:type="dxa"/>
              <w:right w:w="120" w:type="dxa"/>
            </w:tcMar>
          </w:tcPr>
          <w:p>
            <w:pPr>
              <w:spacing w:after="0"/>
            </w:pPr>
            <w:r>
              <w:rPr>
                <w:sz w:val="18"/>
              </w:rPr>
              <w:t>Seamless landmark jump traversal</w:t>
            </w:r>
          </w:p>
        </w:tc>
      </w:tr>
      <w:tr>
        <w:tc>
          <w:tcPr>
            <w:tcW w:type="dxa" w:w="2340"/>
            <w:tcMar>
              <w:top w:w="80" w:type="dxa"/>
              <w:bottom w:w="80" w:type="dxa"/>
              <w:left w:w="120" w:type="dxa"/>
              <w:right w:w="120" w:type="dxa"/>
            </w:tcMar>
            <w:shd w:fill="F8FAFC"/>
          </w:tcPr>
          <w:p>
            <w:pPr>
              <w:spacing w:after="0"/>
            </w:pPr>
            <w:r>
              <w:rPr>
                <w:b/>
                <w:color w:val="3730A3"/>
                <w:sz w:val="18"/>
              </w:rPr>
              <w:t>Keyboard Operability</w:t>
            </w:r>
          </w:p>
        </w:tc>
        <w:tc>
          <w:tcPr>
            <w:tcW w:type="dxa" w:w="2340"/>
            <w:tcMar>
              <w:top w:w="80" w:type="dxa"/>
              <w:bottom w:w="80" w:type="dxa"/>
              <w:left w:w="120" w:type="dxa"/>
              <w:right w:w="120" w:type="dxa"/>
            </w:tcMar>
            <w:shd w:fill="F8FAFC"/>
          </w:tcPr>
          <w:p>
            <w:pPr>
              <w:spacing w:after="0"/>
            </w:pPr>
            <w:r>
              <w:rPr>
                <w:sz w:val="18"/>
              </w:rPr>
              <w:t>Trapped focus, no skip links</w:t>
            </w:r>
          </w:p>
        </w:tc>
        <w:tc>
          <w:tcPr>
            <w:tcW w:type="dxa" w:w="2340"/>
            <w:tcMar>
              <w:top w:w="80" w:type="dxa"/>
              <w:bottom w:w="80" w:type="dxa"/>
              <w:left w:w="120" w:type="dxa"/>
              <w:right w:w="120" w:type="dxa"/>
            </w:tcMar>
            <w:shd w:fill="F8FAFC"/>
          </w:tcPr>
          <w:p>
            <w:pPr>
              <w:spacing w:after="0"/>
            </w:pPr>
            <w:r>
              <w:rPr>
                <w:sz w:val="18"/>
              </w:rPr>
              <w:t>100% keyboard operability</w:t>
            </w:r>
          </w:p>
        </w:tc>
        <w:tc>
          <w:tcPr>
            <w:tcW w:type="dxa" w:w="2340"/>
            <w:tcMar>
              <w:top w:w="80" w:type="dxa"/>
              <w:bottom w:w="80" w:type="dxa"/>
              <w:left w:w="120" w:type="dxa"/>
              <w:right w:w="120" w:type="dxa"/>
            </w:tcMar>
            <w:shd w:fill="F8FAFC"/>
          </w:tcPr>
          <w:p>
            <w:pPr>
              <w:spacing w:after="0"/>
            </w:pPr>
            <w:r>
              <w:rPr>
                <w:sz w:val="18"/>
              </w:rPr>
              <w:t>Complete independence from mouse usage</w:t>
            </w:r>
          </w:p>
        </w:tc>
      </w:tr>
      <w:tr>
        <w:tc>
          <w:tcPr>
            <w:tcW w:type="dxa" w:w="2340"/>
            <w:tcMar>
              <w:top w:w="80" w:type="dxa"/>
              <w:bottom w:w="80" w:type="dxa"/>
              <w:left w:w="120" w:type="dxa"/>
              <w:right w:w="120" w:type="dxa"/>
            </w:tcMar>
          </w:tcPr>
          <w:p>
            <w:pPr>
              <w:spacing w:after="0"/>
            </w:pPr>
            <w:r>
              <w:rPr>
                <w:b/>
                <w:color w:val="3730A3"/>
                <w:sz w:val="18"/>
              </w:rPr>
              <w:t>Form Error Handling</w:t>
            </w:r>
          </w:p>
        </w:tc>
        <w:tc>
          <w:tcPr>
            <w:tcW w:type="dxa" w:w="2340"/>
            <w:tcMar>
              <w:top w:w="80" w:type="dxa"/>
              <w:bottom w:w="80" w:type="dxa"/>
              <w:left w:w="120" w:type="dxa"/>
              <w:right w:w="120" w:type="dxa"/>
            </w:tcMar>
          </w:tcPr>
          <w:p>
            <w:pPr>
              <w:spacing w:after="0"/>
            </w:pPr>
            <w:r>
              <w:rPr>
                <w:sz w:val="18"/>
              </w:rPr>
              <w:t>Unannounced red borders</w:t>
            </w:r>
          </w:p>
        </w:tc>
        <w:tc>
          <w:tcPr>
            <w:tcW w:type="dxa" w:w="2340"/>
            <w:tcMar>
              <w:top w:w="80" w:type="dxa"/>
              <w:bottom w:w="80" w:type="dxa"/>
              <w:left w:w="120" w:type="dxa"/>
              <w:right w:w="120" w:type="dxa"/>
            </w:tcMar>
          </w:tcPr>
          <w:p>
            <w:pPr>
              <w:spacing w:after="0"/>
            </w:pPr>
            <w:r>
              <w:rPr>
                <w:sz w:val="18"/>
              </w:rPr>
              <w:t>aria-invalid, aria-describedby</w:t>
            </w:r>
          </w:p>
        </w:tc>
        <w:tc>
          <w:tcPr>
            <w:tcW w:type="dxa" w:w="2340"/>
            <w:tcMar>
              <w:top w:w="80" w:type="dxa"/>
              <w:bottom w:w="80" w:type="dxa"/>
              <w:left w:w="120" w:type="dxa"/>
              <w:right w:w="120" w:type="dxa"/>
            </w:tcMar>
          </w:tcPr>
          <w:p>
            <w:pPr>
              <w:spacing w:after="0"/>
            </w:pPr>
            <w:r>
              <w:rPr>
                <w:sz w:val="18"/>
              </w:rPr>
              <w:t>Instant assistive screen-reader feedback</w:t>
            </w:r>
          </w:p>
        </w:tc>
      </w:tr>
    </w:tbl>
    <w:p>
      <w:pPr>
        <w:spacing w:after="200"/>
      </w:pPr>
    </w:p>
    <w:p>
      <w:pPr>
        <w:keepNext/>
        <w:spacing w:before="320" w:after="120"/>
      </w:pPr>
      <w:r>
        <w:rPr>
          <w:b/>
          <w:color w:val="3730A3"/>
          <w:sz w:val="28"/>
        </w:rPr>
        <w:t>6. Keyboard Navigation Protocol &amp; Hotkey Architecture</w:t>
      </w:r>
    </w:p>
    <w:p>
      <w:pPr>
        <w:spacing w:before="0" w:after="120" w:line="276" w:lineRule="auto"/>
      </w:pPr>
      <w:r>
        <w:rPr>
          <w:color w:val="0F172A"/>
        </w:rPr>
        <w:t>Aura implements a comprehensive keyboard navigation protocol that adheres to WCAG Guideline 2.1:</w:t>
      </w:r>
    </w:p>
    <w:p>
      <w:pPr>
        <w:pStyle w:val="ListBullet"/>
        <w:spacing w:before="0" w:after="60" w:line="276" w:lineRule="auto"/>
      </w:pPr>
      <w:r>
        <w:rPr>
          <w:b/>
          <w:color w:val="3730A3"/>
        </w:rPr>
        <w:t>Skip Navigation Cluster (WCAG 2.4.1):</w:t>
      </w:r>
      <w:r>
        <w:rPr>
          <w:color w:val="0F172A"/>
        </w:rPr>
        <w:t xml:space="preserve"> Off-screen skip links (top: -120px) that glide into view (top: 1rem) upon Tab focus, allowing direct bypass to main content, search, table of contents, and accessibility tools.</w:t>
      </w:r>
    </w:p>
    <w:p>
      <w:pPr>
        <w:pStyle w:val="ListBullet"/>
        <w:spacing w:before="0" w:after="60" w:line="276" w:lineRule="auto"/>
      </w:pPr>
      <w:r>
        <w:rPr>
          <w:b/>
          <w:color w:val="3730A3"/>
        </w:rPr>
        <w:t>Modal Focus Trapping (WCAG 2.1.2):</w:t>
      </w:r>
      <w:r>
        <w:rPr>
          <w:color w:val="0F172A"/>
        </w:rPr>
        <w:t xml:space="preserve"> Focus is strictly constrained inside modal dialogs (such as the Keyboard Help dialog and Audit Details modal). Pressing Shift+Tab on the first element wraps to the last; pressing Tab on the last wraps to the first.</w:t>
      </w:r>
    </w:p>
    <w:p>
      <w:pPr>
        <w:pStyle w:val="ListBullet"/>
        <w:spacing w:before="0" w:after="60" w:line="276" w:lineRule="auto"/>
      </w:pPr>
      <w:r>
        <w:rPr>
          <w:b/>
          <w:color w:val="3730A3"/>
        </w:rPr>
        <w:t>Focus Restoration (WCAG 2.4.3):</w:t>
      </w:r>
      <w:r>
        <w:rPr>
          <w:color w:val="0F172A"/>
        </w:rPr>
        <w:t xml:space="preserve"> When a modal dialogue is dismissed, focus is safely restored to the exact element that opened it.</w:t>
      </w:r>
    </w:p>
    <w:p>
      <w:pPr>
        <w:pStyle w:val="ListBullet"/>
        <w:spacing w:before="0" w:after="60" w:line="276" w:lineRule="auto"/>
      </w:pPr>
      <w:r>
        <w:rPr>
          <w:b/>
          <w:color w:val="3730A3"/>
        </w:rPr>
        <w:t>Keyboard Hotkeys (WCAG 2.1.4):</w:t>
      </w:r>
      <w:r>
        <w:rPr>
          <w:color w:val="0F172A"/>
        </w:rPr>
        <w:t xml:space="preserve"> Native keyboard shortcuts: Alt+S (Jump to Main Content), Alt+K (Focus Search), Alt+A (Focus Accessibility Toolbar), Alt+/ (Open Keyboard Help Dialog), and Escape (Dismiss Overlays).</w:t>
      </w:r>
    </w:p>
    <w:p>
      <w:pPr>
        <w:keepNext/>
        <w:spacing w:before="320" w:after="120"/>
      </w:pPr>
      <w:r>
        <w:rPr>
          <w:b/>
          <w:color w:val="3730A3"/>
          <w:sz w:val="28"/>
        </w:rPr>
        <w:t>7. Testing &amp; Evaluation Protocol for Evaluators</w:t>
      </w:r>
    </w:p>
    <w:p>
      <w:pPr>
        <w:spacing w:before="0" w:after="120" w:line="276" w:lineRule="auto"/>
      </w:pPr>
      <w:r>
        <w:rPr>
          <w:color w:val="0F172A"/>
        </w:rPr>
        <w:t>Evaluators can replicate and verify every accessibility achievement following this procedure:</w:t>
      </w:r>
    </w:p>
    <w:tbl>
      <w:tblPr>
        <w:tblW w:type="auto" w:w="0"/>
        <w:jc w:val="center"/>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3120"/>
        <w:gridCol w:w="3120"/>
        <w:gridCol w:w="3120"/>
      </w:tblGrid>
      <w:tr>
        <w:tc>
          <w:tcPr>
            <w:tcW w:type="dxa" w:w="3120"/>
            <w:shd w:fill="1E1B4B"/>
            <w:tcMar>
              <w:top w:w="100" w:type="dxa"/>
              <w:bottom w:w="100" w:type="dxa"/>
              <w:left w:w="120" w:type="dxa"/>
              <w:right w:w="120" w:type="dxa"/>
            </w:tcMar>
          </w:tcPr>
          <w:p>
            <w:pPr>
              <w:spacing w:after="0"/>
            </w:pPr>
            <w:r>
              <w:rPr>
                <w:b/>
                <w:color w:val="FFFFFF"/>
                <w:sz w:val="19"/>
              </w:rPr>
              <w:t>Test Procedure</w:t>
            </w:r>
          </w:p>
        </w:tc>
        <w:tc>
          <w:tcPr>
            <w:tcW w:type="dxa" w:w="3120"/>
            <w:shd w:fill="1E1B4B"/>
            <w:tcMar>
              <w:top w:w="100" w:type="dxa"/>
              <w:bottom w:w="100" w:type="dxa"/>
              <w:left w:w="120" w:type="dxa"/>
              <w:right w:w="120" w:type="dxa"/>
            </w:tcMar>
          </w:tcPr>
          <w:p>
            <w:pPr>
              <w:spacing w:after="0"/>
            </w:pPr>
            <w:r>
              <w:rPr>
                <w:b/>
                <w:color w:val="FFFFFF"/>
                <w:sz w:val="19"/>
              </w:rPr>
              <w:t>Action Executed</w:t>
            </w:r>
          </w:p>
        </w:tc>
        <w:tc>
          <w:tcPr>
            <w:tcW w:type="dxa" w:w="3120"/>
            <w:shd w:fill="1E1B4B"/>
            <w:tcMar>
              <w:top w:w="100" w:type="dxa"/>
              <w:bottom w:w="100" w:type="dxa"/>
              <w:left w:w="120" w:type="dxa"/>
              <w:right w:w="120" w:type="dxa"/>
            </w:tcMar>
          </w:tcPr>
          <w:p>
            <w:pPr>
              <w:spacing w:after="0"/>
            </w:pPr>
            <w:r>
              <w:rPr>
                <w:b/>
                <w:color w:val="FFFFFF"/>
                <w:sz w:val="19"/>
              </w:rPr>
              <w:t>Verified Accessibility Outcome</w:t>
            </w:r>
          </w:p>
        </w:tc>
      </w:tr>
      <w:tr>
        <w:tc>
          <w:tcPr>
            <w:tcW w:type="dxa" w:w="3120"/>
            <w:tcMar>
              <w:top w:w="80" w:type="dxa"/>
              <w:bottom w:w="80" w:type="dxa"/>
              <w:left w:w="120" w:type="dxa"/>
              <w:right w:w="120" w:type="dxa"/>
            </w:tcMar>
            <w:shd w:fill="F8FAFC"/>
          </w:tcPr>
          <w:p>
            <w:pPr>
              <w:spacing w:after="0"/>
            </w:pPr>
            <w:r>
              <w:rPr>
                <w:b/>
                <w:color w:val="3730A3"/>
                <w:sz w:val="18"/>
              </w:rPr>
              <w:t>Skip Navigation Test</w:t>
            </w:r>
          </w:p>
        </w:tc>
        <w:tc>
          <w:tcPr>
            <w:tcW w:type="dxa" w:w="3120"/>
            <w:tcMar>
              <w:top w:w="80" w:type="dxa"/>
              <w:bottom w:w="80" w:type="dxa"/>
              <w:left w:w="120" w:type="dxa"/>
              <w:right w:w="120" w:type="dxa"/>
            </w:tcMar>
            <w:shd w:fill="F8FAFC"/>
          </w:tcPr>
          <w:p>
            <w:pPr>
              <w:spacing w:after="0"/>
            </w:pPr>
            <w:r>
              <w:rPr>
                <w:sz w:val="18"/>
              </w:rPr>
              <w:t>Press Tab immediately upon loading page.</w:t>
            </w:r>
          </w:p>
        </w:tc>
        <w:tc>
          <w:tcPr>
            <w:tcW w:type="dxa" w:w="3120"/>
            <w:tcMar>
              <w:top w:w="80" w:type="dxa"/>
              <w:bottom w:w="80" w:type="dxa"/>
              <w:left w:w="120" w:type="dxa"/>
              <w:right w:w="120" w:type="dxa"/>
            </w:tcMar>
            <w:shd w:fill="F8FAFC"/>
          </w:tcPr>
          <w:p>
            <w:pPr>
              <w:spacing w:after="0"/>
            </w:pPr>
            <w:r>
              <w:rPr>
                <w:sz w:val="18"/>
              </w:rPr>
              <w:t>Skip link pops into view; Enter key jumps past header menus directly into main article.</w:t>
            </w:r>
          </w:p>
        </w:tc>
      </w:tr>
      <w:tr>
        <w:tc>
          <w:tcPr>
            <w:tcW w:type="dxa" w:w="3120"/>
            <w:tcMar>
              <w:top w:w="80" w:type="dxa"/>
              <w:bottom w:w="80" w:type="dxa"/>
              <w:left w:w="120" w:type="dxa"/>
              <w:right w:w="120" w:type="dxa"/>
            </w:tcMar>
          </w:tcPr>
          <w:p>
            <w:pPr>
              <w:spacing w:after="0"/>
            </w:pPr>
            <w:r>
              <w:rPr>
                <w:b/>
                <w:color w:val="3730A3"/>
                <w:sz w:val="18"/>
              </w:rPr>
              <w:t>Audit Mode Switcher</w:t>
            </w:r>
          </w:p>
        </w:tc>
        <w:tc>
          <w:tcPr>
            <w:tcW w:type="dxa" w:w="3120"/>
            <w:tcMar>
              <w:top w:w="80" w:type="dxa"/>
              <w:bottom w:w="80" w:type="dxa"/>
              <w:left w:w="120" w:type="dxa"/>
              <w:right w:w="120" w:type="dxa"/>
            </w:tcMar>
          </w:tcPr>
          <w:p>
            <w:pPr>
              <w:spacing w:after="0"/>
            </w:pPr>
            <w:r>
              <w:rPr>
                <w:sz w:val="18"/>
              </w:rPr>
              <w:t>Change Mode dropdown to 'Before Remediation'.</w:t>
            </w:r>
          </w:p>
        </w:tc>
        <w:tc>
          <w:tcPr>
            <w:tcW w:type="dxa" w:w="3120"/>
            <w:tcMar>
              <w:top w:w="80" w:type="dxa"/>
              <w:bottom w:w="80" w:type="dxa"/>
              <w:left w:w="120" w:type="dxa"/>
              <w:right w:w="120" w:type="dxa"/>
            </w:tcMar>
          </w:tcPr>
          <w:p>
            <w:pPr>
              <w:spacing w:after="0"/>
            </w:pPr>
            <w:r>
              <w:rPr>
                <w:sz w:val="18"/>
              </w:rPr>
              <w:t>Visual contrast drops to low-contrast grays, focus rings vanish, scorecard drops to 42/100.</w:t>
            </w:r>
          </w:p>
        </w:tc>
      </w:tr>
      <w:tr>
        <w:tc>
          <w:tcPr>
            <w:tcW w:type="dxa" w:w="3120"/>
            <w:tcMar>
              <w:top w:w="80" w:type="dxa"/>
              <w:bottom w:w="80" w:type="dxa"/>
              <w:left w:w="120" w:type="dxa"/>
              <w:right w:w="120" w:type="dxa"/>
            </w:tcMar>
            <w:shd w:fill="F8FAFC"/>
          </w:tcPr>
          <w:p>
            <w:pPr>
              <w:spacing w:after="0"/>
            </w:pPr>
            <w:r>
              <w:rPr>
                <w:b/>
                <w:color w:val="3730A3"/>
                <w:sz w:val="18"/>
              </w:rPr>
              <w:t>A11y Preferences Menu</w:t>
            </w:r>
          </w:p>
        </w:tc>
        <w:tc>
          <w:tcPr>
            <w:tcW w:type="dxa" w:w="3120"/>
            <w:tcMar>
              <w:top w:w="80" w:type="dxa"/>
              <w:bottom w:w="80" w:type="dxa"/>
              <w:left w:w="120" w:type="dxa"/>
              <w:right w:w="120" w:type="dxa"/>
            </w:tcMar>
            <w:shd w:fill="F8FAFC"/>
          </w:tcPr>
          <w:p>
            <w:pPr>
              <w:spacing w:after="0"/>
            </w:pPr>
            <w:r>
              <w:rPr>
                <w:sz w:val="18"/>
              </w:rPr>
              <w:t>Click '150%', 'High Contrast', and 'Dyslexia Font'.</w:t>
            </w:r>
          </w:p>
        </w:tc>
        <w:tc>
          <w:tcPr>
            <w:tcW w:type="dxa" w:w="3120"/>
            <w:tcMar>
              <w:top w:w="80" w:type="dxa"/>
              <w:bottom w:w="80" w:type="dxa"/>
              <w:left w:w="120" w:type="dxa"/>
              <w:right w:w="120" w:type="dxa"/>
            </w:tcMar>
            <w:shd w:fill="F8FAFC"/>
          </w:tcPr>
          <w:p>
            <w:pPr>
              <w:spacing w:after="0"/>
            </w:pPr>
            <w:r>
              <w:rPr>
                <w:sz w:val="18"/>
              </w:rPr>
              <w:t>Text resizes via rem units without clipping; black/yellow palette and OpenDyslexic font apply.</w:t>
            </w:r>
          </w:p>
        </w:tc>
      </w:tr>
      <w:tr>
        <w:tc>
          <w:tcPr>
            <w:tcW w:type="dxa" w:w="3120"/>
            <w:tcMar>
              <w:top w:w="80" w:type="dxa"/>
              <w:bottom w:w="80" w:type="dxa"/>
              <w:left w:w="120" w:type="dxa"/>
              <w:right w:w="120" w:type="dxa"/>
            </w:tcMar>
          </w:tcPr>
          <w:p>
            <w:pPr>
              <w:spacing w:after="0"/>
            </w:pPr>
            <w:r>
              <w:rPr>
                <w:b/>
                <w:color w:val="3730A3"/>
                <w:sz w:val="18"/>
              </w:rPr>
              <w:t>Audio Narration Test</w:t>
            </w:r>
          </w:p>
        </w:tc>
        <w:tc>
          <w:tcPr>
            <w:tcW w:type="dxa" w:w="3120"/>
            <w:tcMar>
              <w:top w:w="80" w:type="dxa"/>
              <w:bottom w:w="80" w:type="dxa"/>
              <w:left w:w="120" w:type="dxa"/>
              <w:right w:w="120" w:type="dxa"/>
            </w:tcMar>
          </w:tcPr>
          <w:p>
            <w:pPr>
              <w:spacing w:after="0"/>
            </w:pPr>
            <w:r>
              <w:rPr>
                <w:sz w:val="18"/>
              </w:rPr>
              <w:t>Click 'Listen to Article' button.</w:t>
            </w:r>
          </w:p>
        </w:tc>
        <w:tc>
          <w:tcPr>
            <w:tcW w:type="dxa" w:w="3120"/>
            <w:tcMar>
              <w:top w:w="80" w:type="dxa"/>
              <w:bottom w:w="80" w:type="dxa"/>
              <w:left w:w="120" w:type="dxa"/>
              <w:right w:w="120" w:type="dxa"/>
            </w:tcMar>
          </w:tcPr>
          <w:p>
            <w:pPr>
              <w:spacing w:after="0"/>
            </w:pPr>
            <w:r>
              <w:rPr>
                <w:sz w:val="18"/>
              </w:rPr>
              <w:t>Browser SpeechSynthesis vocalizes article aloud with real-time aria-live status updates.</w:t>
            </w:r>
          </w:p>
        </w:tc>
      </w:tr>
      <w:tr>
        <w:tc>
          <w:tcPr>
            <w:tcW w:type="dxa" w:w="3120"/>
            <w:tcMar>
              <w:top w:w="80" w:type="dxa"/>
              <w:bottom w:w="80" w:type="dxa"/>
              <w:left w:w="120" w:type="dxa"/>
              <w:right w:w="120" w:type="dxa"/>
            </w:tcMar>
            <w:shd w:fill="F8FAFC"/>
          </w:tcPr>
          <w:p>
            <w:pPr>
              <w:spacing w:after="0"/>
            </w:pPr>
            <w:r>
              <w:rPr>
                <w:b/>
                <w:color w:val="3730A3"/>
                <w:sz w:val="18"/>
              </w:rPr>
              <w:t>Form Validation Test</w:t>
            </w:r>
          </w:p>
        </w:tc>
        <w:tc>
          <w:tcPr>
            <w:tcW w:type="dxa" w:w="3120"/>
            <w:tcMar>
              <w:top w:w="80" w:type="dxa"/>
              <w:bottom w:w="80" w:type="dxa"/>
              <w:left w:w="120" w:type="dxa"/>
              <w:right w:w="120" w:type="dxa"/>
            </w:tcMar>
            <w:shd w:fill="F8FAFC"/>
          </w:tcPr>
          <w:p>
            <w:pPr>
              <w:spacing w:after="0"/>
            </w:pPr>
            <w:r>
              <w:rPr>
                <w:sz w:val="18"/>
              </w:rPr>
              <w:t>Submit empty comment form.</w:t>
            </w:r>
          </w:p>
        </w:tc>
        <w:tc>
          <w:tcPr>
            <w:tcW w:type="dxa" w:w="3120"/>
            <w:tcMar>
              <w:top w:w="80" w:type="dxa"/>
              <w:bottom w:w="80" w:type="dxa"/>
              <w:left w:w="120" w:type="dxa"/>
              <w:right w:w="120" w:type="dxa"/>
            </w:tcMar>
            <w:shd w:fill="F8FAFC"/>
          </w:tcPr>
          <w:p>
            <w:pPr>
              <w:spacing w:after="0"/>
            </w:pPr>
            <w:r>
              <w:rPr>
                <w:sz w:val="18"/>
              </w:rPr>
              <w:t>Field marks aria-invalid='true', focuses first invalid field, and announces error politely.</w:t>
            </w:r>
          </w:p>
        </w:tc>
      </w:tr>
    </w:tbl>
    <w:p>
      <w:pPr>
        <w:spacing w:after="200"/>
      </w:pPr>
    </w:p>
    <w:p>
      <w:pPr>
        <w:keepNext/>
        <w:spacing w:before="320" w:after="120"/>
      </w:pPr>
      <w:r>
        <w:rPr>
          <w:b/>
          <w:color w:val="3730A3"/>
          <w:sz w:val="28"/>
        </w:rPr>
        <w:t>8. Conclusion &amp; Professional Growth</w:t>
      </w:r>
    </w:p>
    <w:p>
      <w:pPr>
        <w:spacing w:before="0" w:after="120" w:line="276" w:lineRule="auto"/>
      </w:pPr>
      <w:r>
        <w:rPr>
          <w:b/>
          <w:color w:val="3730A3"/>
        </w:rPr>
        <w:t xml:space="preserve">Summary: </w:t>
      </w:r>
      <w:r>
        <w:rPr>
          <w:color w:val="0F172A"/>
        </w:rPr>
        <w:t>The Week 3 task on Enhancing User Experience with Accessibility provided deep practical mastery over WCAG 2.2 Level AAA standards, assistive technology interoperability, and semantic front-end architecture. Moving beyond aesthetic superficiality, this project demonstrated how thoughtful engineering—from contrast tokenization and focus trapping to ARIA live notifications and dyslexia-friendly typography—transforms the web into an inclusive medium accessible to every human being.</w:t>
      </w:r>
    </w:p>
    <w:p>
      <w:pPr>
        <w:spacing w:before="0" w:after="120" w:line="276" w:lineRule="auto"/>
      </w:pPr>
      <w:r>
        <w:rPr>
          <w:b/>
          <w:color w:val="3730A3"/>
        </w:rPr>
        <w:t xml:space="preserve">Submission Status: </w:t>
      </w:r>
      <w:r>
        <w:rPr>
          <w:color w:val="0F172A"/>
        </w:rPr>
        <w:t>All expected deliverables—including the updated project source code, comprehensive README.md documentation, submission zip archive, and this official Word document report—have been compiled and synchronized with the official GitHub repository for evaluation.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