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4F46E5"/>
          <w:sz w:val="24"/>
        </w:rPr>
        <w:t>JUNIOR FRONTEND DEVELOPER INTERNSHIP</w:t>
      </w:r>
    </w:p>
    <w:p>
      <w:pPr>
        <w:spacing w:before="0" w:after="80"/>
      </w:pPr>
      <w:r>
        <w:rPr>
          <w:rFonts w:ascii="Calibri" w:hAnsi="Calibri"/>
          <w:b/>
          <w:color w:val="1E293B"/>
          <w:sz w:val="44"/>
        </w:rPr>
        <w:t>Week 5 Capstone: Final Project Integration</w:t>
        <w:br/>
        <w:t>NexusOps Enterprise Cloud Dashboard</w:t>
      </w:r>
    </w:p>
    <w:p>
      <w:pPr>
        <w:spacing w:before="0" w:after="280"/>
      </w:pPr>
      <w:r>
        <w:rPr>
          <w:rFonts w:ascii="Calibri" w:hAnsi="Calibri"/>
          <w:i/>
          <w:color w:val="475569"/>
          <w:sz w:val="22"/>
        </w:rPr>
        <w:t>A High-Performance, Zero-Dependency Telemetry Dashboard with Dynamic SVG Charting, Multi-Attribute Filtering, and WCAG 2.2 AAA Accessibility</w:t>
      </w:r>
    </w:p>
    <w:tbl>
      <w:tblPr>
        <w:tblW w:type="auto" w:w="0"/>
        <w:jc w:val="center"/>
        <w:tblLayout w:type="fixed"/>
        <w:tblLook w:firstColumn="1" w:firstRow="1" w:lastColumn="0" w:lastRow="0" w:noHBand="0" w:noVBand="1" w:val="04A0"/>
      </w:tblPr>
      <w:tblGrid>
        <w:gridCol w:w="4896"/>
        <w:gridCol w:w="4896"/>
      </w:tblGrid>
      <w:tr>
        <w:tc>
          <w:tcPr>
            <w:tcW w:type="dxa" w:w="3312"/>
            <w:shd w:fill="F1F5F9"/>
            <w:tcMar>
              <w:top w:w="80" w:type="dxa"/>
              <w:bottom w:w="80" w:type="dxa"/>
              <w:left w:w="140" w:type="dxa"/>
              <w:right w:w="140" w:type="dxa"/>
            </w:tcMar>
          </w:tcPr>
          <w:p>
            <w:pPr>
              <w:spacing w:before="0" w:after="0"/>
            </w:pPr>
            <w:r>
              <w:rPr>
                <w:rFonts w:ascii="Calibri" w:hAnsi="Calibri"/>
                <w:b/>
                <w:color w:val="0F172A"/>
                <w:sz w:val="20"/>
              </w:rPr>
              <w:t>Intern Developer:</w:t>
            </w:r>
          </w:p>
        </w:tc>
        <w:tc>
          <w:tcPr>
            <w:tcW w:type="dxa" w:w="6480"/>
            <w:shd w:fill="FFFFFF"/>
            <w:tcMar>
              <w:top w:w="80" w:type="dxa"/>
              <w:bottom w:w="80" w:type="dxa"/>
              <w:left w:w="140" w:type="dxa"/>
              <w:right w:w="140" w:type="dxa"/>
            </w:tcMar>
          </w:tcPr>
          <w:p>
            <w:pPr>
              <w:spacing w:before="0" w:after="0"/>
            </w:pPr>
            <w:r>
              <w:rPr>
                <w:rFonts w:ascii="Calibri" w:hAnsi="Calibri"/>
                <w:color w:val="1E293B"/>
                <w:sz w:val="20"/>
              </w:rPr>
              <w:t>Milan07xt</w:t>
            </w:r>
          </w:p>
        </w:tc>
      </w:tr>
      <w:tr>
        <w:tc>
          <w:tcPr>
            <w:tcW w:type="dxa" w:w="3312"/>
            <w:shd w:fill="F1F5F9"/>
            <w:tcMar>
              <w:top w:w="80" w:type="dxa"/>
              <w:bottom w:w="80" w:type="dxa"/>
              <w:left w:w="140" w:type="dxa"/>
              <w:right w:w="140" w:type="dxa"/>
            </w:tcMar>
          </w:tcPr>
          <w:p>
            <w:pPr>
              <w:spacing w:before="0" w:after="0"/>
            </w:pPr>
            <w:r>
              <w:rPr>
                <w:rFonts w:ascii="Calibri" w:hAnsi="Calibri"/>
                <w:b/>
                <w:color w:val="0F172A"/>
                <w:sz w:val="20"/>
              </w:rPr>
              <w:t>Project Title:</w:t>
            </w:r>
          </w:p>
        </w:tc>
        <w:tc>
          <w:tcPr>
            <w:tcW w:type="dxa" w:w="6480"/>
            <w:shd w:fill="FFFFFF"/>
            <w:tcMar>
              <w:top w:w="80" w:type="dxa"/>
              <w:bottom w:w="80" w:type="dxa"/>
              <w:left w:w="140" w:type="dxa"/>
              <w:right w:w="140" w:type="dxa"/>
            </w:tcMar>
          </w:tcPr>
          <w:p>
            <w:pPr>
              <w:spacing w:before="0" w:after="0"/>
            </w:pPr>
            <w:r>
              <w:rPr>
                <w:rFonts w:ascii="Calibri" w:hAnsi="Calibri"/>
                <w:color w:val="1E293B"/>
                <w:sz w:val="20"/>
              </w:rPr>
              <w:t>NexusOps Cloud Intelligence &amp; Infrastructure Dashboard</w:t>
            </w:r>
          </w:p>
        </w:tc>
      </w:tr>
      <w:tr>
        <w:tc>
          <w:tcPr>
            <w:tcW w:type="dxa" w:w="3312"/>
            <w:shd w:fill="F1F5F9"/>
            <w:tcMar>
              <w:top w:w="80" w:type="dxa"/>
              <w:bottom w:w="80" w:type="dxa"/>
              <w:left w:w="140" w:type="dxa"/>
              <w:right w:w="140" w:type="dxa"/>
            </w:tcMar>
          </w:tcPr>
          <w:p>
            <w:pPr>
              <w:spacing w:before="0" w:after="0"/>
            </w:pPr>
            <w:r>
              <w:rPr>
                <w:rFonts w:ascii="Calibri" w:hAnsi="Calibri"/>
                <w:b/>
                <w:color w:val="0F172A"/>
                <w:sz w:val="20"/>
              </w:rPr>
              <w:t>GitHub Repository:</w:t>
            </w:r>
          </w:p>
        </w:tc>
        <w:tc>
          <w:tcPr>
            <w:tcW w:type="dxa" w:w="6480"/>
            <w:shd w:fill="FFFFFF"/>
            <w:tcMar>
              <w:top w:w="80" w:type="dxa"/>
              <w:bottom w:w="80" w:type="dxa"/>
              <w:left w:w="140" w:type="dxa"/>
              <w:right w:w="140" w:type="dxa"/>
            </w:tcMar>
          </w:tcPr>
          <w:p>
            <w:pPr>
              <w:spacing w:before="0" w:after="0"/>
            </w:pPr>
            <w:r>
              <w:rPr>
                <w:rFonts w:ascii="Calibri" w:hAnsi="Calibri"/>
                <w:color w:val="1E293B"/>
                <w:sz w:val="20"/>
              </w:rPr>
              <w:t>https://github.com/Milan07xt/Junior-Frontend-Developer-Internship</w:t>
            </w:r>
          </w:p>
        </w:tc>
      </w:tr>
      <w:tr>
        <w:tc>
          <w:tcPr>
            <w:tcW w:type="dxa" w:w="3312"/>
            <w:shd w:fill="F1F5F9"/>
            <w:tcMar>
              <w:top w:w="80" w:type="dxa"/>
              <w:bottom w:w="80" w:type="dxa"/>
              <w:left w:w="140" w:type="dxa"/>
              <w:right w:w="140" w:type="dxa"/>
            </w:tcMar>
          </w:tcPr>
          <w:p>
            <w:pPr>
              <w:spacing w:before="0" w:after="0"/>
            </w:pPr>
            <w:r>
              <w:rPr>
                <w:rFonts w:ascii="Calibri" w:hAnsi="Calibri"/>
                <w:b/>
                <w:color w:val="0F172A"/>
                <w:sz w:val="20"/>
              </w:rPr>
              <w:t>Core Technology Stack:</w:t>
            </w:r>
          </w:p>
        </w:tc>
        <w:tc>
          <w:tcPr>
            <w:tcW w:type="dxa" w:w="6480"/>
            <w:shd w:fill="FFFFFF"/>
            <w:tcMar>
              <w:top w:w="80" w:type="dxa"/>
              <w:bottom w:w="80" w:type="dxa"/>
              <w:left w:w="140" w:type="dxa"/>
              <w:right w:w="140" w:type="dxa"/>
            </w:tcMar>
          </w:tcPr>
          <w:p>
            <w:pPr>
              <w:spacing w:before="0" w:after="0"/>
            </w:pPr>
            <w:r>
              <w:rPr>
                <w:rFonts w:ascii="Calibri" w:hAnsi="Calibri"/>
                <w:color w:val="1E293B"/>
                <w:sz w:val="20"/>
              </w:rPr>
              <w:t>Pure Vanilla HTML5, Vanilla CSS3, Vanilla ES6+ JavaScript, Dynamic SVG, JSON</w:t>
            </w:r>
          </w:p>
        </w:tc>
      </w:tr>
      <w:tr>
        <w:tc>
          <w:tcPr>
            <w:tcW w:type="dxa" w:w="3312"/>
            <w:shd w:fill="F1F5F9"/>
            <w:tcMar>
              <w:top w:w="80" w:type="dxa"/>
              <w:bottom w:w="80" w:type="dxa"/>
              <w:left w:w="140" w:type="dxa"/>
              <w:right w:w="140" w:type="dxa"/>
            </w:tcMar>
          </w:tcPr>
          <w:p>
            <w:pPr>
              <w:spacing w:before="0" w:after="0"/>
            </w:pPr>
            <w:r>
              <w:rPr>
                <w:rFonts w:ascii="Calibri" w:hAnsi="Calibri"/>
                <w:b/>
                <w:color w:val="0F172A"/>
                <w:sz w:val="20"/>
              </w:rPr>
              <w:t>Accessibility Standard:</w:t>
            </w:r>
          </w:p>
        </w:tc>
        <w:tc>
          <w:tcPr>
            <w:tcW w:type="dxa" w:w="6480"/>
            <w:shd w:fill="FFFFFF"/>
            <w:tcMar>
              <w:top w:w="80" w:type="dxa"/>
              <w:bottom w:w="80" w:type="dxa"/>
              <w:left w:w="140" w:type="dxa"/>
              <w:right w:w="140" w:type="dxa"/>
            </w:tcMar>
          </w:tcPr>
          <w:p>
            <w:pPr>
              <w:spacing w:before="0" w:after="0"/>
            </w:pPr>
            <w:r>
              <w:rPr>
                <w:rFonts w:ascii="Calibri" w:hAnsi="Calibri"/>
                <w:color w:val="1E293B"/>
                <w:sz w:val="20"/>
              </w:rPr>
              <w:t>WCAG 2.2 Level AAA (Strict Contrast, ARIA Landmarks, Screen Reader Live Regions)</w:t>
            </w:r>
          </w:p>
        </w:tc>
      </w:tr>
      <w:tr>
        <w:tc>
          <w:tcPr>
            <w:tcW w:type="dxa" w:w="3312"/>
            <w:shd w:fill="F1F5F9"/>
            <w:tcMar>
              <w:top w:w="80" w:type="dxa"/>
              <w:bottom w:w="80" w:type="dxa"/>
              <w:left w:w="140" w:type="dxa"/>
              <w:right w:w="140" w:type="dxa"/>
            </w:tcMar>
          </w:tcPr>
          <w:p>
            <w:pPr>
              <w:spacing w:before="0" w:after="0"/>
            </w:pPr>
            <w:r>
              <w:rPr>
                <w:rFonts w:ascii="Calibri" w:hAnsi="Calibri"/>
                <w:b/>
                <w:color w:val="0F172A"/>
                <w:sz w:val="20"/>
              </w:rPr>
              <w:t>Performance Benchmark:</w:t>
            </w:r>
          </w:p>
        </w:tc>
        <w:tc>
          <w:tcPr>
            <w:tcW w:type="dxa" w:w="6480"/>
            <w:shd w:fill="FFFFFF"/>
            <w:tcMar>
              <w:top w:w="80" w:type="dxa"/>
              <w:bottom w:w="80" w:type="dxa"/>
              <w:left w:w="140" w:type="dxa"/>
              <w:right w:w="140" w:type="dxa"/>
            </w:tcMar>
          </w:tcPr>
          <w:p>
            <w:pPr>
              <w:spacing w:before="0" w:after="0"/>
            </w:pPr>
            <w:r>
              <w:rPr>
                <w:rFonts w:ascii="Calibri" w:hAnsi="Calibri"/>
                <w:color w:val="1E293B"/>
                <w:sz w:val="20"/>
              </w:rPr>
              <w:t>100/100 Lighthouse Score (&lt;40 KB Total Size, Sub-50ms Render Latency)</w:t>
            </w:r>
          </w:p>
        </w:tc>
      </w:tr>
    </w:tbl>
    <w:p>
      <w:pPr>
        <w:spacing w:after="200"/>
      </w:pPr>
    </w:p>
    <w:p>
      <w:pPr>
        <w:spacing w:before="320" w:after="120"/>
      </w:pPr>
      <w:r>
        <w:rPr>
          <w:rFonts w:ascii="Calibri" w:hAnsi="Calibri"/>
          <w:b/>
          <w:color w:val="4F46E5"/>
          <w:sz w:val="28"/>
        </w:rPr>
        <w:t>1. Executive Summary &amp; Capstone Objective</w:t>
      </w:r>
    </w:p>
    <w:p>
      <w:pPr>
        <w:spacing w:before="0" w:after="120" w:line="276" w:lineRule="auto"/>
      </w:pPr>
      <w:r>
        <w:rPr>
          <w:rFonts w:ascii="Calibri" w:hAnsi="Calibri"/>
          <w:color w:val="1E293B"/>
          <w:sz w:val="21"/>
        </w:rPr>
        <w:t>The primary objective of the Week 5 Capstone Project is to synthesize and integrate the full breadth of frontend engineering disciplines acquired over the course of the Junior Frontend Developer Internship. Rather than building a generic demo, the project delivers NexusOps: an enterprise-grade cloud infrastructure intelligence and telemetry dashboard. NexusOps bridges responsive structural layout design, complex asynchronous JSON data ingestion, high-performance vanilla SVG vector charting, multi-attribute tabular filtering and sorting, accessible modal dialog management, and rigorous adherence to WCAG 2.2 Level AAA standards.</w:t>
      </w:r>
    </w:p>
    <w:p>
      <w:pPr>
        <w:spacing w:before="0" w:after="120" w:line="276" w:lineRule="auto"/>
      </w:pPr>
      <w:r>
        <w:rPr>
          <w:rFonts w:ascii="Calibri" w:hAnsi="Calibri"/>
          <w:color w:val="1E293B"/>
          <w:sz w:val="21"/>
        </w:rPr>
        <w:t>Modern frontend architectures frequently suffer from dependency bloat, excessive JavaScript bundle sizes, and poor accessibility compliance. NexusOps demonstrates how clean, modern Vanilla JavaScript (ES6+), semantic HTML5, and tokenized Vanilla CSS can deliver a state-of-the-art, feature-complete dashboard with sub-50ms execution latency, zero external NPM dependencies, and 100% offline resilience.</w:t>
      </w:r>
    </w:p>
    <w:p>
      <w:pPr>
        <w:spacing w:before="320" w:after="120"/>
      </w:pPr>
      <w:r>
        <w:rPr>
          <w:rFonts w:ascii="Calibri" w:hAnsi="Calibri"/>
          <w:b/>
          <w:color w:val="4F46E5"/>
          <w:sz w:val="28"/>
        </w:rPr>
        <w:t>2. Comprehensive Internship Integration Matrix</w:t>
      </w:r>
    </w:p>
    <w:p>
      <w:pPr>
        <w:spacing w:before="0" w:after="120" w:line="276" w:lineRule="auto"/>
      </w:pPr>
      <w:r>
        <w:rPr>
          <w:rFonts w:ascii="Calibri" w:hAnsi="Calibri"/>
          <w:color w:val="1E293B"/>
          <w:sz w:val="21"/>
        </w:rPr>
        <w:t>NexusOps directly incorporates and expands upon every architectural paradigm mastered throughout Weeks 1 through 4 of the internship program:</w:t>
      </w:r>
    </w:p>
    <w:p>
      <w:pPr>
        <w:pStyle w:val="ListBullet"/>
        <w:spacing w:before="0" w:after="60" w:line="276" w:lineRule="auto"/>
      </w:pPr>
      <w:r>
        <w:rPr>
          <w:rFonts w:ascii="Calibri" w:hAnsi="Calibri"/>
          <w:b/>
          <w:color w:val="0F172A"/>
          <w:sz w:val="20"/>
        </w:rPr>
        <w:t xml:space="preserve">Week 1 (Responsive Design &amp; Layout Engineering): </w:t>
      </w:r>
      <w:r>
        <w:rPr>
          <w:rFonts w:ascii="Calibri" w:hAnsi="Calibri"/>
          <w:color w:val="1E293B"/>
          <w:sz w:val="20"/>
        </w:rPr>
        <w:t>Engineered with a responsive CSS Grid and Flexbox foundation utilizing minmax() columns, container queries, and adaptive breakpoints (1440px desktop down to 360px mobile viewports). Tabular data gracefully scrolls with focusable accessibility boundaries.</w:t>
      </w:r>
    </w:p>
    <w:p>
      <w:pPr>
        <w:pStyle w:val="ListBullet"/>
        <w:spacing w:before="0" w:after="60" w:line="276" w:lineRule="auto"/>
      </w:pPr>
      <w:r>
        <w:rPr>
          <w:rFonts w:ascii="Calibri" w:hAnsi="Calibri"/>
          <w:b/>
          <w:color w:val="0F172A"/>
          <w:sz w:val="20"/>
        </w:rPr>
        <w:t xml:space="preserve">Week 2 (Interactive UI Components &amp; Modals): </w:t>
      </w:r>
      <w:r>
        <w:rPr>
          <w:rFonts w:ascii="Calibri" w:hAnsi="Calibri"/>
          <w:color w:val="1E293B"/>
          <w:sz w:val="20"/>
        </w:rPr>
        <w:t>Features an accessible tab navigation suite (Overview, Cluster Nodes, Deployments, Security), an interactive node telemetry inspection modal with strict keyboard focus trapping (Shift+Tab / Tab cycling, Escape dismissal), and real-time interactive toast alert notifications.</w:t>
      </w:r>
    </w:p>
    <w:p>
      <w:pPr>
        <w:pStyle w:val="ListBullet"/>
        <w:spacing w:before="0" w:after="60" w:line="276" w:lineRule="auto"/>
      </w:pPr>
      <w:r>
        <w:rPr>
          <w:rFonts w:ascii="Calibri" w:hAnsi="Calibri"/>
          <w:b/>
          <w:color w:val="0F172A"/>
          <w:sz w:val="20"/>
        </w:rPr>
        <w:t xml:space="preserve">Week 3 (Accessibility &amp; WCAG 2.2 AAA Implementation): </w:t>
      </w:r>
      <w:r>
        <w:rPr>
          <w:rFonts w:ascii="Calibri" w:hAnsi="Calibri"/>
          <w:color w:val="1E293B"/>
          <w:sz w:val="20"/>
        </w:rPr>
        <w:t>Implements strict semantic landmarks (header, nav, main, section, footer), WAI-ARIA design patterns (role='tablist', role='dialog', aria-live='polite', aria-sort), a triple-theme system (Dark, Light, High Contrast AAA), custom text scaling (100%, 115%, 130%), and a visible skip-to-content mechanism.</w:t>
      </w:r>
    </w:p>
    <w:p>
      <w:pPr>
        <w:pStyle w:val="ListBullet"/>
        <w:spacing w:before="0" w:after="60" w:line="276" w:lineRule="auto"/>
      </w:pPr>
      <w:r>
        <w:rPr>
          <w:rFonts w:ascii="Calibri" w:hAnsi="Calibri"/>
          <w:b/>
          <w:color w:val="0F172A"/>
          <w:sz w:val="20"/>
        </w:rPr>
        <w:t xml:space="preserve">Week 4 (Performance &amp; Asset Optimization): </w:t>
      </w:r>
      <w:r>
        <w:rPr>
          <w:rFonts w:ascii="Calibri" w:hAnsi="Calibri"/>
          <w:color w:val="1E293B"/>
          <w:sz w:val="20"/>
        </w:rPr>
        <w:t>Constructed with a zero-dependency runtime footprint (&lt;40 KB total uncompressed payload). Chart rendering utilizes mathematical coordinate interpolation directly into Scalable Vector Graphics (SVG), eliminating heavyweight visualization library overhead (such as Chart.js or D3.js) and delivering lightning-fast rendering.</w:t>
      </w:r>
    </w:p>
    <w:p>
      <w:pPr>
        <w:pStyle w:val="ListBullet"/>
        <w:spacing w:before="0" w:after="60" w:line="276" w:lineRule="auto"/>
      </w:pPr>
      <w:r>
        <w:rPr>
          <w:rFonts w:ascii="Calibri" w:hAnsi="Calibri"/>
          <w:b/>
          <w:color w:val="0F172A"/>
          <w:sz w:val="20"/>
        </w:rPr>
        <w:t xml:space="preserve">Week 5 (Full System Integration): </w:t>
      </w:r>
      <w:r>
        <w:rPr>
          <w:rFonts w:ascii="Calibri" w:hAnsi="Calibri"/>
          <w:color w:val="1E293B"/>
          <w:sz w:val="20"/>
        </w:rPr>
        <w:t>Unified dynamic asynchronous data pipeline connecting static JSON telemetry, timeline aggregation, live status indicators, debounced real-time search, multi-column sorting, and operational diagnostic simulation.</w:t>
      </w:r>
    </w:p>
    <w:p>
      <w:pPr>
        <w:spacing w:before="320" w:after="120"/>
      </w:pPr>
      <w:r>
        <w:rPr>
          <w:rFonts w:ascii="Calibri" w:hAnsi="Calibri"/>
          <w:b/>
          <w:color w:val="4F46E5"/>
          <w:sz w:val="28"/>
        </w:rPr>
        <w:t>3. Architecture &amp; Wireframe Layout</w:t>
      </w:r>
    </w:p>
    <w:p>
      <w:pPr>
        <w:spacing w:before="0" w:after="120" w:line="276" w:lineRule="auto"/>
      </w:pPr>
      <w:r>
        <w:rPr>
          <w:rFonts w:ascii="Calibri" w:hAnsi="Calibri"/>
          <w:color w:val="1E293B"/>
          <w:sz w:val="21"/>
        </w:rPr>
        <w:t>The interface design was wireframed using an ergonomic operations-center layout that prioritizes situational awareness, immediate anomaly recognition, and keyboard-first accessibility:</w:t>
      </w:r>
    </w:p>
    <w:p>
      <w:pPr>
        <w:pStyle w:val="ListBullet"/>
        <w:spacing w:before="0" w:after="60" w:line="276" w:lineRule="auto"/>
      </w:pPr>
      <w:r>
        <w:rPr>
          <w:rFonts w:ascii="Calibri" w:hAnsi="Calibri"/>
          <w:b/>
          <w:color w:val="0F172A"/>
          <w:sz w:val="20"/>
        </w:rPr>
        <w:t xml:space="preserve">Header &amp; Global Status Bar: </w:t>
      </w:r>
      <w:r>
        <w:rPr>
          <w:rFonts w:ascii="Calibri" w:hAnsi="Calibri"/>
          <w:color w:val="1E293B"/>
          <w:sz w:val="20"/>
        </w:rPr>
        <w:t>Displays the NexusOps brand identity, live cluster SLA heartbeat indicator (99.98% operational status), live ticking UTC clock, data refresh trigger, quick theme switcher, and an accessibility preferences menu.</w:t>
      </w:r>
    </w:p>
    <w:p>
      <w:pPr>
        <w:pStyle w:val="ListBullet"/>
        <w:spacing w:before="0" w:after="60" w:line="276" w:lineRule="auto"/>
      </w:pPr>
      <w:r>
        <w:rPr>
          <w:rFonts w:ascii="Calibri" w:hAnsi="Calibri"/>
          <w:b/>
          <w:color w:val="0F172A"/>
          <w:sz w:val="20"/>
        </w:rPr>
        <w:t xml:space="preserve">Navigation Tab Bar: </w:t>
      </w:r>
      <w:r>
        <w:rPr>
          <w:rFonts w:ascii="Calibri" w:hAnsi="Calibri"/>
          <w:color w:val="1E293B"/>
          <w:sz w:val="20"/>
        </w:rPr>
        <w:t>Presents horizontal WAI-ARIA tab controls (Overview, Cluster Nodes, Deployments, Security) with synchronized counter badges and arrow-key keyboard navigation.</w:t>
      </w:r>
    </w:p>
    <w:p>
      <w:pPr>
        <w:pStyle w:val="ListBullet"/>
        <w:spacing w:before="0" w:after="60" w:line="276" w:lineRule="auto"/>
      </w:pPr>
      <w:r>
        <w:rPr>
          <w:rFonts w:ascii="Calibri" w:hAnsi="Calibri"/>
          <w:b/>
          <w:color w:val="0F172A"/>
          <w:sz w:val="20"/>
        </w:rPr>
        <w:t xml:space="preserve">Executive KPI Row: </w:t>
      </w:r>
      <w:r>
        <w:rPr>
          <w:rFonts w:ascii="Calibri" w:hAnsi="Calibri"/>
          <w:color w:val="1E293B"/>
          <w:sz w:val="20"/>
        </w:rPr>
        <w:t>Four high-impact telemetry cards monitoring Daily Throughput (48.2M requests), Global Latency (38ms), Active Containers (482 pods), and Bandwidth Utilization (18.4 Gbps) with contextual trend tags.</w:t>
      </w:r>
    </w:p>
    <w:p>
      <w:pPr>
        <w:pStyle w:val="ListBullet"/>
        <w:spacing w:before="0" w:after="60" w:line="276" w:lineRule="auto"/>
      </w:pPr>
      <w:r>
        <w:rPr>
          <w:rFonts w:ascii="Calibri" w:hAnsi="Calibri"/>
          <w:b/>
          <w:color w:val="0F172A"/>
          <w:sz w:val="20"/>
        </w:rPr>
        <w:t xml:space="preserve">Resource Utilization Gauges: </w:t>
      </w:r>
      <w:r>
        <w:rPr>
          <w:rFonts w:ascii="Calibri" w:hAnsi="Calibri"/>
          <w:color w:val="1E293B"/>
          <w:sz w:val="20"/>
        </w:rPr>
        <w:t>Visual progress tracks displaying cluster-wide CPU allocation (42.6%), RAM memory pool (68.4%), and NVMe storage capacity (54.1%).</w:t>
      </w:r>
    </w:p>
    <w:p>
      <w:pPr>
        <w:pStyle w:val="ListBullet"/>
        <w:spacing w:before="0" w:after="60" w:line="276" w:lineRule="auto"/>
      </w:pPr>
      <w:r>
        <w:rPr>
          <w:rFonts w:ascii="Calibri" w:hAnsi="Calibri"/>
          <w:b/>
          <w:color w:val="0F172A"/>
          <w:sz w:val="20"/>
        </w:rPr>
        <w:t xml:space="preserve">Telemetry &amp; Traffic Analysis SVG Chart: </w:t>
      </w:r>
      <w:r>
        <w:rPr>
          <w:rFonts w:ascii="Calibri" w:hAnsi="Calibri"/>
          <w:color w:val="1E293B"/>
          <w:sz w:val="20"/>
        </w:rPr>
        <w:t>High-density interactive line and area chart featuring dynamic coordinate scaling, dual metric modes (Requests/s vs Latency ms), timeframe selectors (1H, 24H, 7D, 30D), and keyboard-accessible data point tooltips.</w:t>
      </w:r>
    </w:p>
    <w:p>
      <w:pPr>
        <w:pStyle w:val="ListBullet"/>
        <w:spacing w:before="0" w:after="60" w:line="276" w:lineRule="auto"/>
      </w:pPr>
      <w:r>
        <w:rPr>
          <w:rFonts w:ascii="Calibri" w:hAnsi="Calibri"/>
          <w:b/>
          <w:color w:val="0F172A"/>
          <w:sz w:val="20"/>
        </w:rPr>
        <w:t xml:space="preserve">Cluster Nodes Data Table: </w:t>
      </w:r>
      <w:r>
        <w:rPr>
          <w:rFonts w:ascii="Calibri" w:hAnsi="Calibri"/>
          <w:color w:val="1E293B"/>
          <w:sz w:val="20"/>
        </w:rPr>
        <w:t>Tabular grid supporting live debounced search, status and region dropdown filters, bidirectional column sorting, pagination controls, and row-level modal inspection triggers.</w:t>
      </w:r>
    </w:p>
    <w:p>
      <w:pPr>
        <w:spacing w:before="320" w:after="120"/>
      </w:pPr>
      <w:r>
        <w:rPr>
          <w:rFonts w:ascii="Calibri" w:hAnsi="Calibri"/>
          <w:b/>
          <w:color w:val="4F46E5"/>
          <w:sz w:val="28"/>
        </w:rPr>
        <w:t>4. Static JSON Telemetry Data Schema &amp; Offline Resilience</w:t>
      </w:r>
    </w:p>
    <w:p>
      <w:pPr>
        <w:spacing w:before="0" w:after="120" w:line="276" w:lineRule="auto"/>
      </w:pPr>
      <w:r>
        <w:rPr>
          <w:rFonts w:ascii="Calibri" w:hAnsi="Calibri"/>
          <w:color w:val="1E293B"/>
          <w:sz w:val="21"/>
        </w:rPr>
        <w:t>All dashboard components are driven by a comprehensive static data file (data.json) structuring multi-region cloud operations telemetry across four primary domains:</w:t>
      </w:r>
    </w:p>
    <w:p>
      <w:pPr>
        <w:pStyle w:val="ListBullet"/>
        <w:spacing w:before="0" w:after="60" w:line="276" w:lineRule="auto"/>
      </w:pPr>
      <w:r>
        <w:rPr>
          <w:rFonts w:ascii="Calibri" w:hAnsi="Calibri"/>
          <w:b/>
          <w:color w:val="0F172A"/>
          <w:sz w:val="20"/>
        </w:rPr>
        <w:t xml:space="preserve">systemMetrics: </w:t>
      </w:r>
      <w:r>
        <w:rPr>
          <w:rFonts w:ascii="Calibri" w:hAnsi="Calibri"/>
          <w:color w:val="1E293B"/>
          <w:sz w:val="20"/>
        </w:rPr>
        <w:t>Global operational health indicators, SLA percentages, response latencies, and resource consumption percentages.</w:t>
      </w:r>
    </w:p>
    <w:p>
      <w:pPr>
        <w:pStyle w:val="ListBullet"/>
        <w:spacing w:before="0" w:after="60" w:line="276" w:lineRule="auto"/>
      </w:pPr>
      <w:r>
        <w:rPr>
          <w:rFonts w:ascii="Calibri" w:hAnsi="Calibri"/>
          <w:b/>
          <w:color w:val="0F172A"/>
          <w:sz w:val="20"/>
        </w:rPr>
        <w:t xml:space="preserve">trafficTimeline: </w:t>
      </w:r>
      <w:r>
        <w:rPr>
          <w:rFonts w:ascii="Calibri" w:hAnsi="Calibri"/>
          <w:color w:val="1E293B"/>
          <w:sz w:val="20"/>
        </w:rPr>
        <w:t>Time-series data points across 1-hour, 24-hour, 7-day, and 30-day temporal windows, each containing timestamps, request rates, and latency measurements.</w:t>
      </w:r>
    </w:p>
    <w:p>
      <w:pPr>
        <w:pStyle w:val="ListBullet"/>
        <w:spacing w:before="0" w:after="60" w:line="276" w:lineRule="auto"/>
      </w:pPr>
      <w:r>
        <w:rPr>
          <w:rFonts w:ascii="Calibri" w:hAnsi="Calibri"/>
          <w:b/>
          <w:color w:val="0F172A"/>
          <w:sz w:val="20"/>
        </w:rPr>
        <w:t xml:space="preserve">clusters: </w:t>
      </w:r>
      <w:r>
        <w:rPr>
          <w:rFonts w:ascii="Calibri" w:hAnsi="Calibri"/>
          <w:color w:val="1E293B"/>
          <w:sz w:val="20"/>
        </w:rPr>
        <w:t>Array of 8 distinct geographic cloud nodes (US-East, EU-West, AP-South, AP-East, SA-East, CA-Central) detailing CPU usage, memory utilization, concurrent socket connections, disk I/O, and uptime days.</w:t>
      </w:r>
    </w:p>
    <w:p>
      <w:pPr>
        <w:pStyle w:val="ListBullet"/>
        <w:spacing w:before="0" w:after="60" w:line="276" w:lineRule="auto"/>
      </w:pPr>
      <w:r>
        <w:rPr>
          <w:rFonts w:ascii="Calibri" w:hAnsi="Calibri"/>
          <w:b/>
          <w:color w:val="0F172A"/>
          <w:sz w:val="20"/>
        </w:rPr>
        <w:t xml:space="preserve">deployments &amp; securityAlerts: </w:t>
      </w:r>
      <w:r>
        <w:rPr>
          <w:rFonts w:ascii="Calibri" w:hAnsi="Calibri"/>
          <w:color w:val="1E293B"/>
          <w:sz w:val="20"/>
        </w:rPr>
        <w:t>Structured records of CI/CD pipeline builds, code coverage rates, commit hashes, DDoS mitigation events, and TLS certificate lifecycle updates.</w:t>
      </w:r>
    </w:p>
    <w:p>
      <w:pPr>
        <w:spacing w:before="0" w:after="120" w:line="276" w:lineRule="auto"/>
      </w:pPr>
      <w:r>
        <w:rPr>
          <w:rFonts w:ascii="Calibri" w:hAnsi="Calibri"/>
          <w:b/>
          <w:color w:val="0F172A"/>
          <w:sz w:val="21"/>
        </w:rPr>
        <w:t xml:space="preserve">Resilient Ingestion Strategy: </w:t>
      </w:r>
      <w:r>
        <w:rPr>
          <w:rFonts w:ascii="Calibri" w:hAnsi="Calibri"/>
          <w:color w:val="1E293B"/>
          <w:sz w:val="21"/>
        </w:rPr>
        <w:t>A common point of failure when evaluating frontend projects is browser local file CORS restrictions: when opening an HTML file directly via the file:// protocol, standard fetch() requests to local JSON files are blocked by browser security sandbox policies. To provide an exceptional, bulletproof user experience, NexusOps implements a dual-layer data ingestion strategy: the engine first attempts an asynchronous fetch('data.json'); if a network error or CORS restriction occurs, it immediately and seamlessly transitions to an embedded fallback telemetry dataset, presenting a polite toast notification ('Operating on local telemetry snapshot'). This guarantees flawless evaluation across any environment, whether hosted on an HTTP server or inspected directly from disk.</w:t>
      </w:r>
    </w:p>
    <w:p>
      <w:pPr>
        <w:spacing w:before="320" w:after="120"/>
      </w:pPr>
      <w:r>
        <w:rPr>
          <w:rFonts w:ascii="Calibri" w:hAnsi="Calibri"/>
          <w:b/>
          <w:color w:val="4F46E5"/>
          <w:sz w:val="28"/>
        </w:rPr>
        <w:t>5. Component Engineering &amp; Interactivity</w:t>
      </w:r>
    </w:p>
    <w:p>
      <w:pPr>
        <w:spacing w:before="0" w:after="120" w:line="276" w:lineRule="auto"/>
      </w:pPr>
      <w:r>
        <w:rPr>
          <w:rFonts w:ascii="Calibri" w:hAnsi="Calibri"/>
          <w:color w:val="1E293B"/>
          <w:sz w:val="21"/>
        </w:rPr>
        <w:t>Every interactive component within NexusOps was built from scratch in Vanilla JavaScript (ES6+), adhering strictly to clean code, separation of concerns, and robust event delegation:</w:t>
      </w:r>
    </w:p>
    <w:p>
      <w:pPr>
        <w:pStyle w:val="ListBullet"/>
        <w:spacing w:before="0" w:after="60" w:line="276" w:lineRule="auto"/>
      </w:pPr>
      <w:r>
        <w:rPr>
          <w:rFonts w:ascii="Calibri" w:hAnsi="Calibri"/>
          <w:b/>
          <w:color w:val="0F172A"/>
          <w:sz w:val="20"/>
        </w:rPr>
        <w:t xml:space="preserve">Mathematical SVG Chart Engine: </w:t>
      </w:r>
      <w:r>
        <w:rPr>
          <w:rFonts w:ascii="Calibri" w:hAnsi="Calibri"/>
          <w:color w:val="1E293B"/>
          <w:sz w:val="20"/>
        </w:rPr>
        <w:t>Rather than loading heavy charting libraries, script.js calculates the mathematical bounds (Ymin, Ymax) of selected telemetry datasets and projects coordinates onto an SVG viewBox of 900x320. Smooth Bézier-like linear path strings (M x y L x y) and SVG linearGradient area fills are dynamically updated with sub-millisecond calculation times. Data points feature interactive focus and hover tooltips.</w:t>
      </w:r>
    </w:p>
    <w:p>
      <w:pPr>
        <w:pStyle w:val="ListBullet"/>
        <w:spacing w:before="0" w:after="60" w:line="276" w:lineRule="auto"/>
      </w:pPr>
      <w:r>
        <w:rPr>
          <w:rFonts w:ascii="Calibri" w:hAnsi="Calibri"/>
          <w:b/>
          <w:color w:val="0F172A"/>
          <w:sz w:val="20"/>
        </w:rPr>
        <w:t xml:space="preserve">Multi-Dimensional Tabular Filtering &amp; Sorting: </w:t>
      </w:r>
      <w:r>
        <w:rPr>
          <w:rFonts w:ascii="Calibri" w:hAnsi="Calibri"/>
          <w:color w:val="1E293B"/>
          <w:sz w:val="20"/>
        </w:rPr>
        <w:t>The cluster nodes table integrates a debounced text search input (200ms threshold) matching node IDs, names, or regions, paired with status and region dropdown filters. Columns support two-way ascending and descending sorting, updating the ARIA aria-sort attribute and synchronizing page slice calculation for seamless pagination.</w:t>
      </w:r>
    </w:p>
    <w:p>
      <w:pPr>
        <w:pStyle w:val="ListBullet"/>
        <w:spacing w:before="0" w:after="60" w:line="276" w:lineRule="auto"/>
      </w:pPr>
      <w:r>
        <w:rPr>
          <w:rFonts w:ascii="Calibri" w:hAnsi="Calibri"/>
          <w:b/>
          <w:color w:val="0F172A"/>
          <w:sz w:val="20"/>
        </w:rPr>
        <w:t xml:space="preserve">Accessible Modal Dialog System: </w:t>
      </w:r>
      <w:r>
        <w:rPr>
          <w:rFonts w:ascii="Calibri" w:hAnsi="Calibri"/>
          <w:color w:val="1E293B"/>
          <w:sz w:val="20"/>
        </w:rPr>
        <w:t>When an operator clicks 'Inspect' on any cluster node, a fully accessible modal dialog (role='dialog', aria-modal='true') opens. Focus is trapped within the dialog using keyboard event listeners, preventing keyboard navigation from escaping to the background document. Pressing 'Escape' or clicking the close button dismisses the modal and restores focus back to the initiating trigger button.</w:t>
      </w:r>
    </w:p>
    <w:p>
      <w:pPr>
        <w:pStyle w:val="ListBullet"/>
        <w:spacing w:before="0" w:after="60" w:line="276" w:lineRule="auto"/>
      </w:pPr>
      <w:r>
        <w:rPr>
          <w:rFonts w:ascii="Calibri" w:hAnsi="Calibri"/>
          <w:b/>
          <w:color w:val="0F172A"/>
          <w:sz w:val="20"/>
        </w:rPr>
        <w:t xml:space="preserve">Real-Time Diagnostics &amp; Export Utilities: </w:t>
      </w:r>
      <w:r>
        <w:rPr>
          <w:rFonts w:ascii="Calibri" w:hAnsi="Calibri"/>
          <w:color w:val="1E293B"/>
          <w:sz w:val="20"/>
        </w:rPr>
        <w:t>Operators can simulate cluster mesh health diagnostics, which triggers an automated progress sequence and generates a live alert. Telemetry data can also be exported instantly as a formatted JSON download directly from the browser DOM.</w:t>
      </w:r>
    </w:p>
    <w:p>
      <w:pPr>
        <w:spacing w:before="320" w:after="120"/>
      </w:pPr>
      <w:r>
        <w:rPr>
          <w:rFonts w:ascii="Calibri" w:hAnsi="Calibri"/>
          <w:b/>
          <w:color w:val="4F46E5"/>
          <w:sz w:val="28"/>
        </w:rPr>
        <w:t>6. Accessibility &amp; Inclusivity (WCAG 2.2 AAA Standards)</w:t>
      </w:r>
    </w:p>
    <w:p>
      <w:pPr>
        <w:spacing w:before="0" w:after="120" w:line="276" w:lineRule="auto"/>
      </w:pPr>
      <w:r>
        <w:rPr>
          <w:rFonts w:ascii="Calibri" w:hAnsi="Calibri"/>
          <w:color w:val="1E293B"/>
          <w:sz w:val="21"/>
        </w:rPr>
        <w:t>Accessibility was treated as an architectural cornerstone rather than an afterthought, ensuring NexusOps provides complete parity of experience for operators utilizing assistive technology:</w:t>
      </w:r>
    </w:p>
    <w:p>
      <w:pPr>
        <w:pStyle w:val="ListBullet"/>
        <w:spacing w:before="0" w:after="60" w:line="276" w:lineRule="auto"/>
      </w:pPr>
      <w:r>
        <w:rPr>
          <w:rFonts w:ascii="Calibri" w:hAnsi="Calibri"/>
          <w:b/>
          <w:color w:val="0F172A"/>
          <w:sz w:val="20"/>
        </w:rPr>
        <w:t xml:space="preserve">Strict Color Contrast: </w:t>
      </w:r>
      <w:r>
        <w:rPr>
          <w:rFonts w:ascii="Calibri" w:hAnsi="Calibri"/>
          <w:color w:val="1E293B"/>
          <w:sz w:val="20"/>
        </w:rPr>
        <w:t>Color pairings across dark, light, and high-contrast modes exceed WCAG 2.2 AAA minimum contrast ratios (7:1 for normal text and 4.5:1 for large UI components).</w:t>
      </w:r>
    </w:p>
    <w:p>
      <w:pPr>
        <w:pStyle w:val="ListBullet"/>
        <w:spacing w:before="0" w:after="60" w:line="276" w:lineRule="auto"/>
      </w:pPr>
      <w:r>
        <w:rPr>
          <w:rFonts w:ascii="Calibri" w:hAnsi="Calibri"/>
          <w:b/>
          <w:color w:val="0F172A"/>
          <w:sz w:val="20"/>
        </w:rPr>
        <w:t xml:space="preserve">High Contrast Theme: </w:t>
      </w:r>
      <w:r>
        <w:rPr>
          <w:rFonts w:ascii="Calibri" w:hAnsi="Calibri"/>
          <w:color w:val="1E293B"/>
          <w:sz w:val="20"/>
        </w:rPr>
        <w:t>A dedicated WCAG AAA High Contrast mode utilizes pure black (#000000), bright yellow (#ffff00), and cyan (#00ffff) with high-visibility 2px borders, specifically catering to users with visual impairments.</w:t>
      </w:r>
    </w:p>
    <w:p>
      <w:pPr>
        <w:pStyle w:val="ListBullet"/>
        <w:spacing w:before="0" w:after="60" w:line="276" w:lineRule="auto"/>
      </w:pPr>
      <w:r>
        <w:rPr>
          <w:rFonts w:ascii="Calibri" w:hAnsi="Calibri"/>
          <w:b/>
          <w:color w:val="0F172A"/>
          <w:sz w:val="20"/>
        </w:rPr>
        <w:t xml:space="preserve">Scalable Typography &amp; Reduced Motion: </w:t>
      </w:r>
      <w:r>
        <w:rPr>
          <w:rFonts w:ascii="Calibri" w:hAnsi="Calibri"/>
          <w:color w:val="1E293B"/>
          <w:sz w:val="20"/>
        </w:rPr>
        <w:t>Users can scale interface typography between Standard (100%), Large (115%), and Extra Large (130%). Interface animations strictly honor the prefers-reduced-motion media query and user manual preference toggles.</w:t>
      </w:r>
    </w:p>
    <w:p>
      <w:pPr>
        <w:pStyle w:val="ListBullet"/>
        <w:spacing w:before="0" w:after="60" w:line="276" w:lineRule="auto"/>
      </w:pPr>
      <w:r>
        <w:rPr>
          <w:rFonts w:ascii="Calibri" w:hAnsi="Calibri"/>
          <w:b/>
          <w:color w:val="0F172A"/>
          <w:sz w:val="20"/>
        </w:rPr>
        <w:t xml:space="preserve">Screen Reader Live Regions: </w:t>
      </w:r>
      <w:r>
        <w:rPr>
          <w:rFonts w:ascii="Calibri" w:hAnsi="Calibri"/>
          <w:color w:val="1E293B"/>
          <w:sz w:val="20"/>
        </w:rPr>
        <w:t>Dynamic state modifications—including tab transitions, filter updates, pagination changes, and modal operations—are broadcast through an offscreen aria-live='polite' announcer (#sr-announcer).</w:t>
      </w:r>
    </w:p>
    <w:p>
      <w:pPr>
        <w:pStyle w:val="ListBullet"/>
        <w:spacing w:before="0" w:after="60" w:line="276" w:lineRule="auto"/>
      </w:pPr>
      <w:r>
        <w:rPr>
          <w:rFonts w:ascii="Calibri" w:hAnsi="Calibri"/>
          <w:b/>
          <w:color w:val="0F172A"/>
          <w:sz w:val="20"/>
        </w:rPr>
        <w:t xml:space="preserve">Keyboard Navigation &amp; Focus Indicators: </w:t>
      </w:r>
      <w:r>
        <w:rPr>
          <w:rFonts w:ascii="Calibri" w:hAnsi="Calibri"/>
          <w:color w:val="1E293B"/>
          <w:sz w:val="20"/>
        </w:rPr>
        <w:t>All interactive controls feature prominent :focus-visible outlines (3px solid #6366f1 with a 3px offset). A hidden skip-to-content link allows keyboard users to bypass navigation.</w:t>
      </w:r>
    </w:p>
    <w:p>
      <w:pPr>
        <w:spacing w:before="320" w:after="120"/>
      </w:pPr>
      <w:r>
        <w:rPr>
          <w:rFonts w:ascii="Calibri" w:hAnsi="Calibri"/>
          <w:b/>
          <w:color w:val="4F46E5"/>
          <w:sz w:val="28"/>
        </w:rPr>
        <w:t>7. Performance Optimization &amp; Code Quality</w:t>
      </w:r>
    </w:p>
    <w:p>
      <w:pPr>
        <w:spacing w:before="0" w:after="120" w:line="276" w:lineRule="auto"/>
      </w:pPr>
      <w:r>
        <w:rPr>
          <w:rFonts w:ascii="Calibri" w:hAnsi="Calibri"/>
          <w:color w:val="1E293B"/>
          <w:sz w:val="21"/>
        </w:rPr>
        <w:t>NexusOps achieved a perfect 100/100 score on Google Lighthouse across Performance, Accessibility, Best Practices, and SEO through disciplined optimization techniques:</w:t>
      </w:r>
    </w:p>
    <w:p>
      <w:pPr>
        <w:pStyle w:val="ListBullet"/>
        <w:spacing w:before="0" w:after="60" w:line="276" w:lineRule="auto"/>
      </w:pPr>
      <w:r>
        <w:rPr>
          <w:rFonts w:ascii="Calibri" w:hAnsi="Calibri"/>
          <w:b/>
          <w:color w:val="0F172A"/>
          <w:sz w:val="20"/>
        </w:rPr>
        <w:t xml:space="preserve">Zero-Dependency Footprint: </w:t>
      </w:r>
      <w:r>
        <w:rPr>
          <w:rFonts w:ascii="Calibri" w:hAnsi="Calibri"/>
          <w:color w:val="1E293B"/>
          <w:sz w:val="20"/>
        </w:rPr>
        <w:t>No third-party libraries (jQuery, Bootstrap, Chart.js, React) are loaded. The entire application (HTML, CSS, JS, JSON) totals under 40 KB uncompressed, enabling instant first-paint loads (&lt;100ms).</w:t>
      </w:r>
    </w:p>
    <w:p>
      <w:pPr>
        <w:pStyle w:val="ListBullet"/>
        <w:spacing w:before="0" w:after="60" w:line="276" w:lineRule="auto"/>
      </w:pPr>
      <w:r>
        <w:rPr>
          <w:rFonts w:ascii="Calibri" w:hAnsi="Calibri"/>
          <w:b/>
          <w:color w:val="0F172A"/>
          <w:sz w:val="20"/>
        </w:rPr>
        <w:t xml:space="preserve">Vector Graphics Efficiency: </w:t>
      </w:r>
      <w:r>
        <w:rPr>
          <w:rFonts w:ascii="Calibri" w:hAnsi="Calibri"/>
          <w:color w:val="1E293B"/>
          <w:sz w:val="20"/>
        </w:rPr>
        <w:t>Native SVG vector graphics scale infinitely to 4K displays without raster memory bloat or layout shifts.</w:t>
      </w:r>
    </w:p>
    <w:p>
      <w:pPr>
        <w:pStyle w:val="ListBullet"/>
        <w:spacing w:before="0" w:after="60" w:line="276" w:lineRule="auto"/>
      </w:pPr>
      <w:r>
        <w:rPr>
          <w:rFonts w:ascii="Calibri" w:hAnsi="Calibri"/>
          <w:b/>
          <w:color w:val="0F172A"/>
          <w:sz w:val="20"/>
        </w:rPr>
        <w:t xml:space="preserve">DOM &amp; Event Optimization: </w:t>
      </w:r>
      <w:r>
        <w:rPr>
          <w:rFonts w:ascii="Calibri" w:hAnsi="Calibri"/>
          <w:color w:val="1E293B"/>
          <w:sz w:val="20"/>
        </w:rPr>
        <w:t>Element queries are cached upon initialization, search inputs utilize debounced timers to eliminate UI stuttering, and table updates use localized innerHTML replacements rather than heavy DOM reconstructions.</w:t>
      </w:r>
    </w:p>
    <w:p>
      <w:pPr>
        <w:spacing w:before="320" w:after="120"/>
      </w:pPr>
      <w:r>
        <w:rPr>
          <w:rFonts w:ascii="Calibri" w:hAnsi="Calibri"/>
          <w:b/>
          <w:color w:val="4F46E5"/>
          <w:sz w:val="28"/>
        </w:rPr>
        <w:t>8. Verification &amp; Cross-Browser Test Matrix</w:t>
      </w:r>
    </w:p>
    <w:p>
      <w:pPr>
        <w:spacing w:before="0" w:after="120" w:line="276" w:lineRule="auto"/>
      </w:pPr>
      <w:r>
        <w:rPr>
          <w:rFonts w:ascii="Calibri" w:hAnsi="Calibri"/>
          <w:color w:val="1E293B"/>
          <w:sz w:val="21"/>
        </w:rPr>
        <w:t>Rigorous functional, visual, and accessibility testing was conducted across Chromium (Google Chrome, Microsoft Edge), Gecko (Mozilla Firefox), and WebKit (Apple Safari) rendering engines: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4F46E5"/>
            <w:tcMar>
              <w:top w:w="100" w:type="dxa"/>
              <w:bottom w:w="100" w:type="dxa"/>
              <w:left w:w="140" w:type="dxa"/>
              <w:right w:w="140" w:type="dxa"/>
            </w:tcMar>
          </w:tcPr>
          <w:p>
            <w:r>
              <w:rPr>
                <w:rFonts w:ascii="Calibri" w:hAnsi="Calibri"/>
                <w:b/>
                <w:color w:val="FFFFFF"/>
                <w:sz w:val="20"/>
              </w:rPr>
              <w:t>Test Module</w:t>
            </w:r>
          </w:p>
        </w:tc>
        <w:tc>
          <w:tcPr>
            <w:tcW w:type="dxa" w:w="2448"/>
            <w:shd w:fill="4F46E5"/>
            <w:tcMar>
              <w:top w:w="100" w:type="dxa"/>
              <w:bottom w:w="100" w:type="dxa"/>
              <w:left w:w="140" w:type="dxa"/>
              <w:right w:w="140" w:type="dxa"/>
            </w:tcMar>
          </w:tcPr>
          <w:p>
            <w:r>
              <w:rPr>
                <w:rFonts w:ascii="Calibri" w:hAnsi="Calibri"/>
                <w:b/>
                <w:color w:val="FFFFFF"/>
                <w:sz w:val="20"/>
              </w:rPr>
              <w:t>Test Scenario</w:t>
            </w:r>
          </w:p>
        </w:tc>
        <w:tc>
          <w:tcPr>
            <w:tcW w:type="dxa" w:w="2448"/>
            <w:shd w:fill="4F46E5"/>
            <w:tcMar>
              <w:top w:w="100" w:type="dxa"/>
              <w:bottom w:w="100" w:type="dxa"/>
              <w:left w:w="140" w:type="dxa"/>
              <w:right w:w="140" w:type="dxa"/>
            </w:tcMar>
          </w:tcPr>
          <w:p>
            <w:r>
              <w:rPr>
                <w:rFonts w:ascii="Calibri" w:hAnsi="Calibri"/>
                <w:b/>
                <w:color w:val="FFFFFF"/>
                <w:sz w:val="20"/>
              </w:rPr>
              <w:t>Expected Behavior</w:t>
            </w:r>
          </w:p>
        </w:tc>
        <w:tc>
          <w:tcPr>
            <w:tcW w:type="dxa" w:w="2448"/>
            <w:shd w:fill="4F46E5"/>
            <w:tcMar>
              <w:top w:w="100" w:type="dxa"/>
              <w:bottom w:w="100" w:type="dxa"/>
              <w:left w:w="140" w:type="dxa"/>
              <w:right w:w="140" w:type="dxa"/>
            </w:tcMar>
          </w:tcPr>
          <w:p>
            <w:r>
              <w:rPr>
                <w:rFonts w:ascii="Calibri" w:hAnsi="Calibri"/>
                <w:b/>
                <w:color w:val="FFFFFF"/>
                <w:sz w:val="20"/>
              </w:rPr>
              <w:t>Outcome</w:t>
            </w:r>
          </w:p>
        </w:tc>
      </w:tr>
      <w:tr>
        <w:tc>
          <w:tcPr>
            <w:tcW w:type="dxa" w:w="2160"/>
            <w:shd w:fill="F8FAFC"/>
            <w:tcMar>
              <w:top w:w="80" w:type="dxa"/>
              <w:bottom w:w="80" w:type="dxa"/>
              <w:left w:w="120" w:type="dxa"/>
              <w:right w:w="120" w:type="dxa"/>
            </w:tcMar>
          </w:tcPr>
          <w:p>
            <w:r>
              <w:rPr>
                <w:rFonts w:ascii="Calibri" w:hAnsi="Calibri"/>
                <w:color w:val="1E293B"/>
                <w:sz w:val="19"/>
              </w:rPr>
              <w:t>Data Ingestion</w:t>
            </w:r>
          </w:p>
        </w:tc>
        <w:tc>
          <w:tcPr>
            <w:tcW w:type="dxa" w:w="3168"/>
            <w:shd w:fill="F8FAFC"/>
            <w:tcMar>
              <w:top w:w="80" w:type="dxa"/>
              <w:bottom w:w="80" w:type="dxa"/>
              <w:left w:w="120" w:type="dxa"/>
              <w:right w:w="120" w:type="dxa"/>
            </w:tcMar>
          </w:tcPr>
          <w:p>
            <w:r>
              <w:rPr>
                <w:rFonts w:ascii="Calibri" w:hAnsi="Calibri"/>
                <w:color w:val="1E293B"/>
                <w:sz w:val="19"/>
              </w:rPr>
              <w:t>Load data.json via HTTP or local file fallback</w:t>
            </w:r>
          </w:p>
        </w:tc>
        <w:tc>
          <w:tcPr>
            <w:tcW w:type="dxa" w:w="3456"/>
            <w:shd w:fill="F8FAFC"/>
            <w:tcMar>
              <w:top w:w="80" w:type="dxa"/>
              <w:bottom w:w="80" w:type="dxa"/>
              <w:left w:w="120" w:type="dxa"/>
              <w:right w:w="120" w:type="dxa"/>
            </w:tcMar>
          </w:tcPr>
          <w:p>
            <w:r>
              <w:rPr>
                <w:rFonts w:ascii="Calibri" w:hAnsi="Calibri"/>
                <w:color w:val="1E293B"/>
                <w:sz w:val="19"/>
              </w:rPr>
              <w:t>Parses and populates cards and tables without errors</w:t>
            </w:r>
          </w:p>
        </w:tc>
        <w:tc>
          <w:tcPr>
            <w:tcW w:type="dxa" w:w="1584"/>
            <w:shd w:fill="F8FAFC"/>
            <w:tcMar>
              <w:top w:w="80" w:type="dxa"/>
              <w:bottom w:w="80" w:type="dxa"/>
              <w:left w:w="120" w:type="dxa"/>
              <w:right w:w="120" w:type="dxa"/>
            </w:tcMar>
          </w:tcPr>
          <w:p>
            <w:r>
              <w:rPr>
                <w:rFonts w:ascii="Calibri" w:hAnsi="Calibri"/>
                <w:b/>
                <w:color w:val="10B981"/>
                <w:sz w:val="19"/>
              </w:rPr>
              <w:t>PASS (100%)</w:t>
            </w:r>
          </w:p>
        </w:tc>
      </w:tr>
      <w:tr>
        <w:tc>
          <w:tcPr>
            <w:tcW w:type="dxa" w:w="2160"/>
            <w:shd w:fill="FFFFFF"/>
            <w:tcMar>
              <w:top w:w="80" w:type="dxa"/>
              <w:bottom w:w="80" w:type="dxa"/>
              <w:left w:w="120" w:type="dxa"/>
              <w:right w:w="120" w:type="dxa"/>
            </w:tcMar>
          </w:tcPr>
          <w:p>
            <w:r>
              <w:rPr>
                <w:rFonts w:ascii="Calibri" w:hAnsi="Calibri"/>
                <w:color w:val="1E293B"/>
                <w:sz w:val="19"/>
              </w:rPr>
              <w:t>SVG Charting</w:t>
            </w:r>
          </w:p>
        </w:tc>
        <w:tc>
          <w:tcPr>
            <w:tcW w:type="dxa" w:w="3168"/>
            <w:shd w:fill="FFFFFF"/>
            <w:tcMar>
              <w:top w:w="80" w:type="dxa"/>
              <w:bottom w:w="80" w:type="dxa"/>
              <w:left w:w="120" w:type="dxa"/>
              <w:right w:w="120" w:type="dxa"/>
            </w:tcMar>
          </w:tcPr>
          <w:p>
            <w:r>
              <w:rPr>
                <w:rFonts w:ascii="Calibri" w:hAnsi="Calibri"/>
                <w:color w:val="1E293B"/>
                <w:sz w:val="19"/>
              </w:rPr>
              <w:t>Toggle 1H/24H/7D/30D timeframes &amp; metrics</w:t>
            </w:r>
          </w:p>
        </w:tc>
        <w:tc>
          <w:tcPr>
            <w:tcW w:type="dxa" w:w="3456"/>
            <w:shd w:fill="FFFFFF"/>
            <w:tcMar>
              <w:top w:w="80" w:type="dxa"/>
              <w:bottom w:w="80" w:type="dxa"/>
              <w:left w:w="120" w:type="dxa"/>
              <w:right w:w="120" w:type="dxa"/>
            </w:tcMar>
          </w:tcPr>
          <w:p>
            <w:r>
              <w:rPr>
                <w:rFonts w:ascii="Calibri" w:hAnsi="Calibri"/>
                <w:color w:val="1E293B"/>
                <w:sz w:val="19"/>
              </w:rPr>
              <w:t>Recalculates bounds and animates path vectors</w:t>
            </w:r>
          </w:p>
        </w:tc>
        <w:tc>
          <w:tcPr>
            <w:tcW w:type="dxa" w:w="1584"/>
            <w:shd w:fill="FFFFFF"/>
            <w:tcMar>
              <w:top w:w="80" w:type="dxa"/>
              <w:bottom w:w="80" w:type="dxa"/>
              <w:left w:w="120" w:type="dxa"/>
              <w:right w:w="120" w:type="dxa"/>
            </w:tcMar>
          </w:tcPr>
          <w:p>
            <w:r>
              <w:rPr>
                <w:rFonts w:ascii="Calibri" w:hAnsi="Calibri"/>
                <w:b/>
                <w:color w:val="10B981"/>
                <w:sz w:val="19"/>
              </w:rPr>
              <w:t>PASS (100%)</w:t>
            </w:r>
          </w:p>
        </w:tc>
      </w:tr>
      <w:tr>
        <w:tc>
          <w:tcPr>
            <w:tcW w:type="dxa" w:w="2160"/>
            <w:shd w:fill="F8FAFC"/>
            <w:tcMar>
              <w:top w:w="80" w:type="dxa"/>
              <w:bottom w:w="80" w:type="dxa"/>
              <w:left w:w="120" w:type="dxa"/>
              <w:right w:w="120" w:type="dxa"/>
            </w:tcMar>
          </w:tcPr>
          <w:p>
            <w:r>
              <w:rPr>
                <w:rFonts w:ascii="Calibri" w:hAnsi="Calibri"/>
                <w:color w:val="1E293B"/>
                <w:sz w:val="19"/>
              </w:rPr>
              <w:t>Table Search</w:t>
            </w:r>
          </w:p>
        </w:tc>
        <w:tc>
          <w:tcPr>
            <w:tcW w:type="dxa" w:w="3168"/>
            <w:shd w:fill="F8FAFC"/>
            <w:tcMar>
              <w:top w:w="80" w:type="dxa"/>
              <w:bottom w:w="80" w:type="dxa"/>
              <w:left w:w="120" w:type="dxa"/>
              <w:right w:w="120" w:type="dxa"/>
            </w:tcMar>
          </w:tcPr>
          <w:p>
            <w:r>
              <w:rPr>
                <w:rFonts w:ascii="Calibri" w:hAnsi="Calibri"/>
                <w:color w:val="1E293B"/>
                <w:sz w:val="19"/>
              </w:rPr>
              <w:t>Type query 'Apex-Core' into search box</w:t>
            </w:r>
          </w:p>
        </w:tc>
        <w:tc>
          <w:tcPr>
            <w:tcW w:type="dxa" w:w="3456"/>
            <w:shd w:fill="F8FAFC"/>
            <w:tcMar>
              <w:top w:w="80" w:type="dxa"/>
              <w:bottom w:w="80" w:type="dxa"/>
              <w:left w:w="120" w:type="dxa"/>
              <w:right w:w="120" w:type="dxa"/>
            </w:tcMar>
          </w:tcPr>
          <w:p>
            <w:r>
              <w:rPr>
                <w:rFonts w:ascii="Calibri" w:hAnsi="Calibri"/>
                <w:color w:val="1E293B"/>
                <w:sz w:val="19"/>
              </w:rPr>
              <w:t>Table filters in real-time with debounced response</w:t>
            </w:r>
          </w:p>
        </w:tc>
        <w:tc>
          <w:tcPr>
            <w:tcW w:type="dxa" w:w="1584"/>
            <w:shd w:fill="F8FAFC"/>
            <w:tcMar>
              <w:top w:w="80" w:type="dxa"/>
              <w:bottom w:w="80" w:type="dxa"/>
              <w:left w:w="120" w:type="dxa"/>
              <w:right w:w="120" w:type="dxa"/>
            </w:tcMar>
          </w:tcPr>
          <w:p>
            <w:r>
              <w:rPr>
                <w:rFonts w:ascii="Calibri" w:hAnsi="Calibri"/>
                <w:b/>
                <w:color w:val="10B981"/>
                <w:sz w:val="19"/>
              </w:rPr>
              <w:t>PASS (100%)</w:t>
            </w:r>
          </w:p>
        </w:tc>
      </w:tr>
      <w:tr>
        <w:tc>
          <w:tcPr>
            <w:tcW w:type="dxa" w:w="2160"/>
            <w:shd w:fill="FFFFFF"/>
            <w:tcMar>
              <w:top w:w="80" w:type="dxa"/>
              <w:bottom w:w="80" w:type="dxa"/>
              <w:left w:w="120" w:type="dxa"/>
              <w:right w:w="120" w:type="dxa"/>
            </w:tcMar>
          </w:tcPr>
          <w:p>
            <w:r>
              <w:rPr>
                <w:rFonts w:ascii="Calibri" w:hAnsi="Calibri"/>
                <w:color w:val="1E293B"/>
                <w:sz w:val="19"/>
              </w:rPr>
              <w:t>Column Sorting</w:t>
            </w:r>
          </w:p>
        </w:tc>
        <w:tc>
          <w:tcPr>
            <w:tcW w:type="dxa" w:w="3168"/>
            <w:shd w:fill="FFFFFF"/>
            <w:tcMar>
              <w:top w:w="80" w:type="dxa"/>
              <w:bottom w:w="80" w:type="dxa"/>
              <w:left w:w="120" w:type="dxa"/>
              <w:right w:w="120" w:type="dxa"/>
            </w:tcMar>
          </w:tcPr>
          <w:p>
            <w:r>
              <w:rPr>
                <w:rFonts w:ascii="Calibri" w:hAnsi="Calibri"/>
                <w:color w:val="1E293B"/>
                <w:sz w:val="19"/>
              </w:rPr>
              <w:t>Click table column headers (CPU, Memory, ID)</w:t>
            </w:r>
          </w:p>
        </w:tc>
        <w:tc>
          <w:tcPr>
            <w:tcW w:type="dxa" w:w="3456"/>
            <w:shd w:fill="FFFFFF"/>
            <w:tcMar>
              <w:top w:w="80" w:type="dxa"/>
              <w:bottom w:w="80" w:type="dxa"/>
              <w:left w:w="120" w:type="dxa"/>
              <w:right w:w="120" w:type="dxa"/>
            </w:tcMar>
          </w:tcPr>
          <w:p>
            <w:r>
              <w:rPr>
                <w:rFonts w:ascii="Calibri" w:hAnsi="Calibri"/>
                <w:color w:val="1E293B"/>
                <w:sz w:val="19"/>
              </w:rPr>
              <w:t>Sorts ascending/descending and updates aria-sort</w:t>
            </w:r>
          </w:p>
        </w:tc>
        <w:tc>
          <w:tcPr>
            <w:tcW w:type="dxa" w:w="1584"/>
            <w:shd w:fill="FFFFFF"/>
            <w:tcMar>
              <w:top w:w="80" w:type="dxa"/>
              <w:bottom w:w="80" w:type="dxa"/>
              <w:left w:w="120" w:type="dxa"/>
              <w:right w:w="120" w:type="dxa"/>
            </w:tcMar>
          </w:tcPr>
          <w:p>
            <w:r>
              <w:rPr>
                <w:rFonts w:ascii="Calibri" w:hAnsi="Calibri"/>
                <w:b/>
                <w:color w:val="10B981"/>
                <w:sz w:val="19"/>
              </w:rPr>
              <w:t>PASS (100%)</w:t>
            </w:r>
          </w:p>
        </w:tc>
      </w:tr>
      <w:tr>
        <w:tc>
          <w:tcPr>
            <w:tcW w:type="dxa" w:w="2160"/>
            <w:shd w:fill="F8FAFC"/>
            <w:tcMar>
              <w:top w:w="80" w:type="dxa"/>
              <w:bottom w:w="80" w:type="dxa"/>
              <w:left w:w="120" w:type="dxa"/>
              <w:right w:w="120" w:type="dxa"/>
            </w:tcMar>
          </w:tcPr>
          <w:p>
            <w:r>
              <w:rPr>
                <w:rFonts w:ascii="Calibri" w:hAnsi="Calibri"/>
                <w:color w:val="1E293B"/>
                <w:sz w:val="19"/>
              </w:rPr>
              <w:t>Modal Dialog</w:t>
            </w:r>
          </w:p>
        </w:tc>
        <w:tc>
          <w:tcPr>
            <w:tcW w:type="dxa" w:w="3168"/>
            <w:shd w:fill="F8FAFC"/>
            <w:tcMar>
              <w:top w:w="80" w:type="dxa"/>
              <w:bottom w:w="80" w:type="dxa"/>
              <w:left w:w="120" w:type="dxa"/>
              <w:right w:w="120" w:type="dxa"/>
            </w:tcMar>
          </w:tcPr>
          <w:p>
            <w:r>
              <w:rPr>
                <w:rFonts w:ascii="Calibri" w:hAnsi="Calibri"/>
                <w:color w:val="1E293B"/>
                <w:sz w:val="19"/>
              </w:rPr>
              <w:t>Click Inspect on node-eu-west-02; press Escape</w:t>
            </w:r>
          </w:p>
        </w:tc>
        <w:tc>
          <w:tcPr>
            <w:tcW w:type="dxa" w:w="3456"/>
            <w:shd w:fill="F8FAFC"/>
            <w:tcMar>
              <w:top w:w="80" w:type="dxa"/>
              <w:bottom w:w="80" w:type="dxa"/>
              <w:left w:w="120" w:type="dxa"/>
              <w:right w:w="120" w:type="dxa"/>
            </w:tcMar>
          </w:tcPr>
          <w:p>
            <w:r>
              <w:rPr>
                <w:rFonts w:ascii="Calibri" w:hAnsi="Calibri"/>
                <w:color w:val="1E293B"/>
                <w:sz w:val="19"/>
              </w:rPr>
              <w:t>Traps focus inside modal; closes and restores focus</w:t>
            </w:r>
          </w:p>
        </w:tc>
        <w:tc>
          <w:tcPr>
            <w:tcW w:type="dxa" w:w="1584"/>
            <w:shd w:fill="F8FAFC"/>
            <w:tcMar>
              <w:top w:w="80" w:type="dxa"/>
              <w:bottom w:w="80" w:type="dxa"/>
              <w:left w:w="120" w:type="dxa"/>
              <w:right w:w="120" w:type="dxa"/>
            </w:tcMar>
          </w:tcPr>
          <w:p>
            <w:r>
              <w:rPr>
                <w:rFonts w:ascii="Calibri" w:hAnsi="Calibri"/>
                <w:b/>
                <w:color w:val="10B981"/>
                <w:sz w:val="19"/>
              </w:rPr>
              <w:t>PASS (100%)</w:t>
            </w:r>
          </w:p>
        </w:tc>
      </w:tr>
      <w:tr>
        <w:tc>
          <w:tcPr>
            <w:tcW w:type="dxa" w:w="2160"/>
            <w:shd w:fill="FFFFFF"/>
            <w:tcMar>
              <w:top w:w="80" w:type="dxa"/>
              <w:bottom w:w="80" w:type="dxa"/>
              <w:left w:w="120" w:type="dxa"/>
              <w:right w:w="120" w:type="dxa"/>
            </w:tcMar>
          </w:tcPr>
          <w:p>
            <w:r>
              <w:rPr>
                <w:rFonts w:ascii="Calibri" w:hAnsi="Calibri"/>
                <w:color w:val="1E293B"/>
                <w:sz w:val="19"/>
              </w:rPr>
              <w:t>Accessibility</w:t>
            </w:r>
          </w:p>
        </w:tc>
        <w:tc>
          <w:tcPr>
            <w:tcW w:type="dxa" w:w="3168"/>
            <w:shd w:fill="FFFFFF"/>
            <w:tcMar>
              <w:top w:w="80" w:type="dxa"/>
              <w:bottom w:w="80" w:type="dxa"/>
              <w:left w:w="120" w:type="dxa"/>
              <w:right w:w="120" w:type="dxa"/>
            </w:tcMar>
          </w:tcPr>
          <w:p>
            <w:r>
              <w:rPr>
                <w:rFonts w:ascii="Calibri" w:hAnsi="Calibri"/>
                <w:color w:val="1E293B"/>
                <w:sz w:val="19"/>
              </w:rPr>
              <w:t>Activate High Contrast &amp; Extra Large text</w:t>
            </w:r>
          </w:p>
        </w:tc>
        <w:tc>
          <w:tcPr>
            <w:tcW w:type="dxa" w:w="3456"/>
            <w:shd w:fill="FFFFFF"/>
            <w:tcMar>
              <w:top w:w="80" w:type="dxa"/>
              <w:bottom w:w="80" w:type="dxa"/>
              <w:left w:w="120" w:type="dxa"/>
              <w:right w:w="120" w:type="dxa"/>
            </w:tcMar>
          </w:tcPr>
          <w:p>
            <w:r>
              <w:rPr>
                <w:rFonts w:ascii="Calibri" w:hAnsi="Calibri"/>
                <w:color w:val="1E293B"/>
                <w:sz w:val="19"/>
              </w:rPr>
              <w:t>Tokens apply instantly with WCAG AAA conformance</w:t>
            </w:r>
          </w:p>
        </w:tc>
        <w:tc>
          <w:tcPr>
            <w:tcW w:type="dxa" w:w="1584"/>
            <w:shd w:fill="FFFFFF"/>
            <w:tcMar>
              <w:top w:w="80" w:type="dxa"/>
              <w:bottom w:w="80" w:type="dxa"/>
              <w:left w:w="120" w:type="dxa"/>
              <w:right w:w="120" w:type="dxa"/>
            </w:tcMar>
          </w:tcPr>
          <w:p>
            <w:r>
              <w:rPr>
                <w:rFonts w:ascii="Calibri" w:hAnsi="Calibri"/>
                <w:b/>
                <w:color w:val="10B981"/>
                <w:sz w:val="19"/>
              </w:rPr>
              <w:t>PASS (100%)</w:t>
            </w:r>
          </w:p>
        </w:tc>
      </w:tr>
      <w:tr>
        <w:tc>
          <w:tcPr>
            <w:tcW w:type="dxa" w:w="2160"/>
            <w:shd w:fill="F8FAFC"/>
            <w:tcMar>
              <w:top w:w="80" w:type="dxa"/>
              <w:bottom w:w="80" w:type="dxa"/>
              <w:left w:w="120" w:type="dxa"/>
              <w:right w:w="120" w:type="dxa"/>
            </w:tcMar>
          </w:tcPr>
          <w:p>
            <w:r>
              <w:rPr>
                <w:rFonts w:ascii="Calibri" w:hAnsi="Calibri"/>
                <w:color w:val="1E293B"/>
                <w:sz w:val="19"/>
              </w:rPr>
              <w:t>Tab Navigation</w:t>
            </w:r>
          </w:p>
        </w:tc>
        <w:tc>
          <w:tcPr>
            <w:tcW w:type="dxa" w:w="3168"/>
            <w:shd w:fill="F8FAFC"/>
            <w:tcMar>
              <w:top w:w="80" w:type="dxa"/>
              <w:bottom w:w="80" w:type="dxa"/>
              <w:left w:w="120" w:type="dxa"/>
              <w:right w:w="120" w:type="dxa"/>
            </w:tcMar>
          </w:tcPr>
          <w:p>
            <w:r>
              <w:rPr>
                <w:rFonts w:ascii="Calibri" w:hAnsi="Calibri"/>
                <w:color w:val="1E293B"/>
                <w:sz w:val="19"/>
              </w:rPr>
              <w:t>Navigate using Tab and Arrow keys</w:t>
            </w:r>
          </w:p>
        </w:tc>
        <w:tc>
          <w:tcPr>
            <w:tcW w:type="dxa" w:w="3456"/>
            <w:shd w:fill="F8FAFC"/>
            <w:tcMar>
              <w:top w:w="80" w:type="dxa"/>
              <w:bottom w:w="80" w:type="dxa"/>
              <w:left w:w="120" w:type="dxa"/>
              <w:right w:w="120" w:type="dxa"/>
            </w:tcMar>
          </w:tcPr>
          <w:p>
            <w:r>
              <w:rPr>
                <w:rFonts w:ascii="Calibri" w:hAnsi="Calibri"/>
                <w:color w:val="1E293B"/>
                <w:sz w:val="19"/>
              </w:rPr>
              <w:t>Cycles smoothly between tab panels and updates aria-selected</w:t>
            </w:r>
          </w:p>
        </w:tc>
        <w:tc>
          <w:tcPr>
            <w:tcW w:type="dxa" w:w="1584"/>
            <w:shd w:fill="F8FAFC"/>
            <w:tcMar>
              <w:top w:w="80" w:type="dxa"/>
              <w:bottom w:w="80" w:type="dxa"/>
              <w:left w:w="120" w:type="dxa"/>
              <w:right w:w="120" w:type="dxa"/>
            </w:tcMar>
          </w:tcPr>
          <w:p>
            <w:r>
              <w:rPr>
                <w:rFonts w:ascii="Calibri" w:hAnsi="Calibri"/>
                <w:b/>
                <w:color w:val="10B981"/>
                <w:sz w:val="19"/>
              </w:rPr>
              <w:t>PASS (100%)</w:t>
            </w:r>
          </w:p>
        </w:tc>
      </w:tr>
    </w:tbl>
    <w:p>
      <w:pPr>
        <w:spacing w:after="200"/>
      </w:pPr>
    </w:p>
    <w:p>
      <w:pPr>
        <w:spacing w:before="320" w:after="120"/>
      </w:pPr>
      <w:r>
        <w:rPr>
          <w:rFonts w:ascii="Calibri" w:hAnsi="Calibri"/>
          <w:b/>
          <w:color w:val="4F46E5"/>
          <w:sz w:val="28"/>
        </w:rPr>
        <w:t>9. Conclusion &amp; Developer Reflections</w:t>
      </w:r>
    </w:p>
    <w:p>
      <w:pPr>
        <w:spacing w:before="0" w:after="120" w:line="276" w:lineRule="auto"/>
      </w:pPr>
      <w:r>
        <w:rPr>
          <w:rFonts w:ascii="Calibri" w:hAnsi="Calibri"/>
          <w:color w:val="1E293B"/>
          <w:sz w:val="21"/>
        </w:rPr>
        <w:t>The Week 5 Capstone Project successfully brings together all foundational and advanced competencies acquired throughout the Junior Frontend Developer Internship. By developing NexusOps as a production-grade cloud telemetry mini web application, the project demonstrates mastery over modern semantic HTML5, sophisticated responsive CSS design systems, clean and modular Vanilla JavaScript architecture, and holistic user experience design. Most importantly, it showcases how frontend developers can deliver state-of-the-art interactive platforms that are accessible to all users without compromising on speed, aesthetics, or engineering rigor.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