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25A3BA46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21323B92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091AD9D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401F883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1B4B4AB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ADAB2" w14:textId="0509199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5F7CC89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3C90D4EF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13D3436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71C6C93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15592" w14:textId="4441966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CC53C" w14:textId="209A4B0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479118" w14:textId="1C46B97C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964120" w14:textId="7FD786E6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D48C2" w14:textId="107EF55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ED161D" w14:textId="39432AF3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r>
        <w:fldChar w:fldCharType="begin"/>
      </w:r>
      <w:r>
        <w:instrText>HYPERLINK "https://github.com/MilanBogicevic8/Opj-projekat"</w:instrText>
      </w:r>
      <w:r>
        <w:fldChar w:fldCharType="separate"/>
      </w:r>
      <w:r w:rsidRPr="00E26747">
        <w:rPr>
          <w:rStyle w:val="Hyperlink"/>
          <w:lang w:val="sr-Cyrl-RS"/>
        </w:rPr>
        <w:t>линку</w:t>
      </w:r>
      <w:r>
        <w:fldChar w:fldCharType="end"/>
      </w:r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Александра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Немањина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Милоша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Srbije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gramStart"/>
      <w:r w:rsidRPr="00FD76CB">
        <w:rPr>
          <w:b/>
          <w:bCs/>
          <w:lang w:val="en-US"/>
        </w:rPr>
        <w:t>Тесла“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Вучић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Јовановић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Čorba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7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proofErr w:type="spellEnd"/>
      <w:r w:rsidR="001D17B4">
        <w:rPr>
          <w:lang w:val="sr-Cyrl-RS"/>
        </w:rPr>
        <w:t>ијал</w:t>
      </w:r>
      <w:proofErr w:type="spellStart"/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</w:t>
      </w:r>
      <w:r w:rsidR="0070672A">
        <w:rPr>
          <w:lang w:val="en-GB"/>
        </w:rPr>
        <w:t>a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r>
        <w:rPr>
          <w:b/>
          <w:bCs/>
          <w:lang w:val="sr-Cyrl-RS"/>
        </w:rPr>
        <w:t>стратификације</w:t>
      </w:r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потпоглављима.</w:t>
      </w: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12" w:name="_Toc209644346"/>
      <w:r w:rsidRPr="0098704A">
        <w:rPr>
          <w:lang w:val="en-GB"/>
        </w:rPr>
        <w:t>CLASSL</w:t>
      </w:r>
      <w:bookmarkEnd w:id="12"/>
      <w:r w:rsidR="008C24EC">
        <w:rPr>
          <w:lang w:val="en-US"/>
        </w:rPr>
        <w:t>A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59B1BB65" w14:textId="76E6D5C2" w:rsidR="00297BD8" w:rsidRP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</w:t>
      </w:r>
      <w:r w:rsidR="00F03C5F">
        <w:rPr>
          <w:lang w:val="sr-Cyrl-RS"/>
        </w:rPr>
        <w:t xml:space="preserve"> целокупан скуп података и</w:t>
      </w:r>
      <w:r>
        <w:rPr>
          <w:lang w:val="sr-Cyrl-RS"/>
        </w:rPr>
        <w:t xml:space="preserve"> </w:t>
      </w:r>
      <w:r w:rsidR="00F03C5F">
        <w:rPr>
          <w:lang w:val="sr-Cyrl-RS"/>
        </w:rPr>
        <w:t>пуну</w:t>
      </w:r>
      <w:r>
        <w:rPr>
          <w:lang w:val="sr-Cyrl-RS"/>
        </w:rPr>
        <w:t xml:space="preserve">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CCE4E48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14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8FC7F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3B69C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5E8BB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9528537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E262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9912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1BAB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3DD0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0B2DFC4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D99F8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BD3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F1BF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1267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0057AC" w14:paraId="571C27B2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4D1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645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8B55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108D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C9E207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BB57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DCC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2147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6F5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057AC" w14:paraId="1CB49AC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02FA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1CD6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19BD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391F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DCDF54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DEDE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CE04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531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9917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0057AC" w14:paraId="0331E1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721A5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29F0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B41C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792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0057AC" w14:paraId="70ED3A5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60E3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D049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6774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9B8A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p w14:paraId="42F28919" w14:textId="77777777" w:rsidR="008D0E05" w:rsidRPr="000057AC" w:rsidRDefault="008D0E05" w:rsidP="000057AC">
      <w:pPr>
        <w:pStyle w:val="Osnovnitekst"/>
        <w:ind w:firstLine="0"/>
        <w:rPr>
          <w:lang w:val="en-US"/>
        </w:rPr>
      </w:pPr>
    </w:p>
    <w:p w14:paraId="21DAC22D" w14:textId="0FD68531" w:rsid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за </w:t>
      </w:r>
      <w:r w:rsidR="00F03C5F">
        <w:rPr>
          <w:lang w:val="sr-Cyrl-RS"/>
        </w:rPr>
        <w:t xml:space="preserve">целокупан скуп података и </w:t>
      </w:r>
      <w:r>
        <w:rPr>
          <w:lang w:val="sr-Cyrl-RS"/>
        </w:rPr>
        <w:t>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68F43A8C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FCB0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EB1D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997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0BA34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A20283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0F0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7AD1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5F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5224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32650A3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40247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23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776F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B7F0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0057AC" w14:paraId="16CA7CB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564D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AD19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86CB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0A6C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0057AC" w14:paraId="2DA766FE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ED483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9E9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03A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0C2A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0057AC" w14:paraId="28CDD1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6E336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7464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05D2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53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3706AB40" w14:textId="77777777" w:rsidR="00F03C5F" w:rsidRDefault="00F03C5F" w:rsidP="00F03C5F">
      <w:pPr>
        <w:pStyle w:val="Osnovnitekst"/>
        <w:ind w:firstLine="0"/>
        <w:rPr>
          <w:lang w:val="sr-Cyrl-RS"/>
        </w:rPr>
      </w:pPr>
    </w:p>
    <w:p w14:paraId="1908F0AD" w14:textId="5989786F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F03C5F" w14:paraId="0CF7D7CB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DC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33C8F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733C8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A66D6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096385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E3521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902A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8743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F171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03C5F" w14:paraId="126CCB0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BE055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9F35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685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47E4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F03C5F" w14:paraId="5F702C8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7FB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54D1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BB76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71BB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493F213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81A9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108D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E09C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A356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F03C5F" w14:paraId="11890148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9CCF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8E9F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429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9414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14:paraId="27A161F7" w14:textId="6E5EDD90" w:rsidR="00F03C5F" w:rsidRDefault="00F03C5F" w:rsidP="00F03C5F">
      <w:pPr>
        <w:pStyle w:val="Osnovnitekst"/>
        <w:ind w:firstLine="0"/>
        <w:rPr>
          <w:lang w:val="sr-Cyrl-RS"/>
        </w:rPr>
      </w:pPr>
    </w:p>
    <w:p w14:paraId="2CC5C8B4" w14:textId="52CA6794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F03C5F" w14:paraId="0446B8EA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A05F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32E25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E0661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76EEA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0FB10CB7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9B7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D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2BC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8C74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F03C5F" w14:paraId="2A8E31A1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184E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3484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8FA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578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1245FE0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2BCB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D85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55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43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F03C5F" w14:paraId="39541D2F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F110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E298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B883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588F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F03C5F" w14:paraId="3F64B699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0696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037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5CA2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9650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4DA7E0B0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4CCA2575" w14:textId="5AD9FAD5" w:rsidR="00F03C5F" w:rsidRPr="00297BD8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података и пуну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14FF9CF2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FED34A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C75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B21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BFC6C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574E5C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9DF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E0E4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E24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FFDF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2E96642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9D75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631E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4CE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824B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0057AC" w14:paraId="4AF829F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D82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8955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59E9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2EAD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0057AC" w14:paraId="1998FA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F169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17B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4CA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A4BC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0057AC" w14:paraId="71FD46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0484B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215A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5682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A95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0057AC" w14:paraId="2E79AB6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0D87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E4D6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BB3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468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0057AC" w14:paraId="77AF7C9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203D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8F12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8D7B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839D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6956BF8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C83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F74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1AE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1445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20CFCC82" w14:textId="196A3D16" w:rsidR="00F03C5F" w:rsidRDefault="00F03C5F" w:rsidP="00F03C5F">
      <w:pPr>
        <w:pStyle w:val="Osnovnitekst"/>
        <w:ind w:firstLine="0"/>
        <w:rPr>
          <w:lang w:val="sr-Cyrl-RS"/>
        </w:rPr>
      </w:pPr>
    </w:p>
    <w:p w14:paraId="1DF116F5" w14:textId="624B839A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 и 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110D1B0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72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6618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C98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35717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226E04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93F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7469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BC5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238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0057AC" w14:paraId="4089E2A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C871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842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352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D802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0057AC" w14:paraId="1A5AF2F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315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7403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7FE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B049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0057AC" w14:paraId="7F31598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6A6F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F6FE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3B5A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D646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0057AC" w14:paraId="0986BFB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4339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AD28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BA69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BA0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26DCED61" w14:textId="528FF6F2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23788EF7" w14:textId="59113452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F03C5F" w14:paraId="27D95D65" w14:textId="77777777" w:rsidTr="00000F5F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4EA42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BB7F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CB42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90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49704F1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0B7F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7B7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42E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6A28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F03C5F" w14:paraId="199AD5F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565D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0F69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0167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B459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F03C5F" w14:paraId="18E50C63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FC344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2F3A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B03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05B8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F03C5F" w14:paraId="480C1FE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8F57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E160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0A4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0A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F03C5F" w14:paraId="23D96297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14899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AE15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36C3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B81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38881EC5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3F078773" w14:textId="24AC696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F03C5F" w14:paraId="75C3C3D3" w14:textId="77777777" w:rsidTr="00F03C5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140B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4BE9D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7D77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2E18C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1E2DE39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C5B2D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2D2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C63B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62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190B221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401A2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F5DE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2F7C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9883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F03C5F" w14:paraId="65E28E7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76EB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07D8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CDD0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8B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F03C5F" w14:paraId="7F731B48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0228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970D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A626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E377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F03C5F" w14:paraId="7ECC4164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AA2C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45F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EE04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EDDB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76FBE2B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10299D" w14:textId="776D9AFB" w:rsidR="00F03C5F" w:rsidRP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19302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58D9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9ED5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36FC8BA" w14:textId="0DF09CF2" w:rsidR="00F03C5F" w:rsidRDefault="00F03C5F" w:rsidP="00F03C5F">
      <w:pPr>
        <w:pStyle w:val="IIInivonaslova-Odeljak"/>
        <w:rPr>
          <w:lang w:val="sr-Cyrl-RS"/>
        </w:rPr>
      </w:pPr>
      <w:r>
        <w:rPr>
          <w:lang w:val="sr-Cyrl-RS"/>
        </w:rPr>
        <w:t>Анализа</w:t>
      </w:r>
    </w:p>
    <w:p w14:paraId="435849B4" w14:textId="63792302" w:rsidR="00F5143E" w:rsidRPr="00F03C5F" w:rsidRDefault="00F5143E" w:rsidP="00F5143E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</w:t>
      </w:r>
      <w:r w:rsidR="006225F1">
        <w:rPr>
          <w:lang w:val="sr-Cyrl-RS"/>
        </w:rPr>
        <w:t xml:space="preserve">ска прецизност </w:t>
      </w:r>
      <w:r>
        <w:rPr>
          <w:lang w:val="sr-Cyrl-RS"/>
        </w:rPr>
        <w:t>у препознавању локација може се објаснити начином на који су ручно анотиране организације које садрже називе локација</w:t>
      </w:r>
      <w:r w:rsidR="006225F1">
        <w:rPr>
          <w:lang w:val="sr-Cyrl-RS"/>
        </w:rPr>
        <w:t>, а које се често појављују у тексту</w:t>
      </w:r>
      <w:r>
        <w:rPr>
          <w:lang w:val="sr-Cyrl-RS"/>
        </w:rPr>
        <w:t>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F5143E" w14:paraId="748215A7" w14:textId="77777777" w:rsidTr="00F5143E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BEBE1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F18E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DC2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F5143E" w14:paraId="0B2EF29A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5A12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3336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7A3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62C6B8C6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DADC0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F743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B520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F5143E" w14:paraId="0922D5E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B62C9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B79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4544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52EF2E5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4E72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4435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7623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292B848F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0D9E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546A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F0D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0FF96A6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1F9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EB6A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3199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2E432721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2F1B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0CC1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2152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F5143E" w14:paraId="71CD8EF4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0F74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B33E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358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6F17301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229F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B8C8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C3D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5EE92867" w14:textId="77777777" w:rsidR="00F5143E" w:rsidRDefault="00F5143E" w:rsidP="00F03C5F">
      <w:pPr>
        <w:pStyle w:val="Osnovnitekst"/>
        <w:rPr>
          <w:lang w:val="en-US"/>
        </w:rPr>
      </w:pPr>
    </w:p>
    <w:p w14:paraId="2821B343" w14:textId="78D6864B" w:rsidR="00F5143E" w:rsidRDefault="006225F1" w:rsidP="006225F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>са друге стране може се довести у везу са анотацијом адреса: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6225F1" w14:paraId="387794C2" w14:textId="77777777" w:rsidTr="006225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E438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75C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FDC7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6225F1" w14:paraId="1B11889D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2ABA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0AD1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E244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5415C1D1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2AEF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E77CC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6869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6225F1" w14:paraId="43681063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957E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FEC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F0A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6225F1" w14:paraId="0BF613F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9834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D0D8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E029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2394DC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83AD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6946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86A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79A5D2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93FA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CCA2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33E9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C4874A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493B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580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5C7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CD657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1277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36AB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2366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D8B6E5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B00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46F1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5B0C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E7E6E0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5450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6826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46C6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5C30ADD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ED64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0299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8ECC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374D659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F9C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217E2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B30D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13A5C1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063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4E33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D68A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225F1" w14:paraId="1D645E0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82F6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F9E7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02F5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3A333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88C2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4E0C5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FDF6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8B05D01" w14:textId="77777777" w:rsidR="006225F1" w:rsidRDefault="006225F1" w:rsidP="006225F1">
      <w:pPr>
        <w:pStyle w:val="Osnovnitekst"/>
        <w:ind w:firstLine="0"/>
        <w:rPr>
          <w:lang w:val="en-US"/>
        </w:rPr>
      </w:pPr>
    </w:p>
    <w:p w14:paraId="4F0FB25A" w14:textId="2935C6E0" w:rsidR="006225F1" w:rsidRPr="006225F1" w:rsidRDefault="006225F1" w:rsidP="006225F1">
      <w:pPr>
        <w:pStyle w:val="Osnovnitekst"/>
        <w:ind w:firstLine="0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>И поред несагласности у начину анотирања сложених назив</w:t>
      </w:r>
      <w:r w:rsidR="00C94CAC">
        <w:rPr>
          <w:lang w:val="sr-Cyrl-RS"/>
        </w:rPr>
        <w:t>а</w:t>
      </w:r>
      <w:r>
        <w:rPr>
          <w:lang w:val="sr-Cyrl-RS"/>
        </w:rPr>
        <w:t xml:space="preserve"> ентитета са </w:t>
      </w:r>
      <w:r w:rsidR="00C94CAC">
        <w:rPr>
          <w:lang w:val="sr-Cyrl-RS"/>
        </w:rPr>
        <w:t>подентитетима</w:t>
      </w:r>
      <w:r>
        <w:rPr>
          <w:lang w:val="sr-Cyrl-RS"/>
        </w:rPr>
        <w:t xml:space="preserve">, овај модел има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>модела.</w:t>
      </w:r>
    </w:p>
    <w:p w14:paraId="72984D92" w14:textId="33C06E7C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8A05" w14:textId="77777777" w:rsidR="00BC19FC" w:rsidRDefault="00BC19FC">
      <w:r>
        <w:separator/>
      </w:r>
    </w:p>
  </w:endnote>
  <w:endnote w:type="continuationSeparator" w:id="0">
    <w:p w14:paraId="1B48F0FF" w14:textId="77777777" w:rsidR="00BC19FC" w:rsidRDefault="00BC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C8968" w14:textId="77777777" w:rsidR="00BC19FC" w:rsidRDefault="00BC19FC">
      <w:r>
        <w:separator/>
      </w:r>
    </w:p>
  </w:footnote>
  <w:footnote w:type="continuationSeparator" w:id="0">
    <w:p w14:paraId="5FCA92B0" w14:textId="77777777" w:rsidR="00BC19FC" w:rsidRDefault="00BC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64392"/>
    <w:rsid w:val="0017116F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97BD8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E22B8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19FC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50AA"/>
    <w:rsid w:val="00D96844"/>
    <w:rsid w:val="00DA0520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pfpEGfowzCBZrc-sHqYqL8C5sd60J1b2J7TR5PA34Z0/edit?tab=t.0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304</TotalTime>
  <Pages>20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25154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19</cp:revision>
  <cp:lastPrinted>2010-03-22T09:00:00Z</cp:lastPrinted>
  <dcterms:created xsi:type="dcterms:W3CDTF">2025-09-24T19:35:00Z</dcterms:created>
  <dcterms:modified xsi:type="dcterms:W3CDTF">2025-09-28T17:51:00Z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