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RBA AI Use Case Prioritization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1. Introduction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1.1 Purpose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purpose of this framework is to provide a structured, objective, and transparent methodology for evaluating and prioritizing Artificial Intelligence (AI) use cases at the Reserve Bank of Australia (RBA). As the Bank explores a diverse range of AI applications—from standalone tools to complex products developed in Cloudera and Azure AI Foundry—this framework ensures that limited financial and human resources are directed toward initiatives that offer the highest strategic value while minimizing organizational hindrance.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1.2 Objective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Alignment:</w:t>
      </w:r>
      <w:r w:rsidDel="00000000" w:rsidR="00000000" w:rsidRPr="00000000">
        <w:rPr>
          <w:rFonts w:ascii="Google Sans Text" w:cs="Google Sans Text" w:eastAsia="Google Sans Text" w:hAnsi="Google Sans Text"/>
          <w:color w:val="1f1f1f"/>
          <w:rtl w:val="0"/>
        </w:rPr>
        <w:t xml:space="preserve"> Ensure all AI experiments align with the RBA’s vision (Decision Support, Operational Resilience, and Productivity).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Optimization:</w:t>
      </w:r>
      <w:r w:rsidDel="00000000" w:rsidR="00000000" w:rsidRPr="00000000">
        <w:rPr>
          <w:rFonts w:ascii="Google Sans Text" w:cs="Google Sans Text" w:eastAsia="Google Sans Text" w:hAnsi="Google Sans Text"/>
          <w:color w:val="1f1f1f"/>
          <w:rtl w:val="0"/>
        </w:rPr>
        <w:t xml:space="preserve"> Maximize the "Return on Intelligence" by selecting cases that deliver the best gains (time saved, security updates, public outcomes) for the least resource consumption.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Mitigation:</w:t>
      </w:r>
      <w:r w:rsidDel="00000000" w:rsidR="00000000" w:rsidRPr="00000000">
        <w:rPr>
          <w:rFonts w:ascii="Google Sans Text" w:cs="Google Sans Text" w:eastAsia="Google Sans Text" w:hAnsi="Google Sans Text"/>
          <w:color w:val="1f1f1f"/>
          <w:rtl w:val="0"/>
        </w:rPr>
        <w:t xml:space="preserve"> Enforce strict data sovereignty rules, particularly regarding "Highly Restricted" data and cloud usage.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Innovation Culture:</w:t>
      </w:r>
      <w:r w:rsidDel="00000000" w:rsidR="00000000" w:rsidRPr="00000000">
        <w:rPr>
          <w:rFonts w:ascii="Google Sans Text" w:cs="Google Sans Text" w:eastAsia="Google Sans Text" w:hAnsi="Google Sans Text"/>
          <w:color w:val="1f1f1f"/>
          <w:rtl w:val="0"/>
        </w:rPr>
        <w:t xml:space="preserve"> Maintain a "fail fast" environment where low-cost experimentation is encouraged, but high-cost production is rigorously vetted.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2. Key Elements and Principles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2.1 The RICE-RBA Prioritization Formula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quantify the value of a use case, the RBA utilizes a modified RICE (Reach, Impact, Confidence, Effort) model. This version adds an </w:t>
      </w:r>
      <w:r w:rsidDel="00000000" w:rsidR="00000000" w:rsidRPr="00000000">
        <w:rPr>
          <w:rFonts w:ascii="Google Sans Text" w:cs="Google Sans Text" w:eastAsia="Google Sans Text" w:hAnsi="Google Sans Text"/>
          <w:b w:val="1"/>
          <w:bCs w:val="1"/>
          <w:color w:val="1f1f1f"/>
          <w:rtl w:val="0"/>
        </w:rPr>
        <w:t xml:space="preserve">Ambiguity (A)</w:t>
      </w:r>
      <w:r w:rsidDel="00000000" w:rsidR="00000000" w:rsidRPr="00000000">
        <w:rPr>
          <w:rFonts w:ascii="Google Sans Text" w:cs="Google Sans Text" w:eastAsia="Google Sans Text" w:hAnsi="Google Sans Text"/>
          <w:color w:val="1f1f1f"/>
          <w:rtl w:val="0"/>
        </w:rPr>
        <w:t xml:space="preserve"> factor to account for the technical complexity of AI and a </w:t>
      </w:r>
      <w:r w:rsidDel="00000000" w:rsidR="00000000" w:rsidRPr="00000000">
        <w:rPr>
          <w:rFonts w:ascii="Google Sans Text" w:cs="Google Sans Text" w:eastAsia="Google Sans Text" w:hAnsi="Google Sans Text"/>
          <w:b w:val="1"/>
          <w:bCs w:val="1"/>
          <w:color w:val="1f1f1f"/>
          <w:rtl w:val="0"/>
        </w:rPr>
        <w:t xml:space="preserve">Strategic Weighting (W)</w:t>
      </w:r>
      <w:r w:rsidDel="00000000" w:rsidR="00000000" w:rsidRPr="00000000">
        <w:rPr>
          <w:rFonts w:ascii="Google Sans Text" w:cs="Google Sans Text" w:eastAsia="Google Sans Text" w:hAnsi="Google Sans Text"/>
          <w:color w:val="1f1f1f"/>
          <w:rtl w:val="0"/>
        </w:rPr>
        <w:t xml:space="preserve"> to align with central bank priorities.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color w:val="1f1f1f"/>
        </w:rPr>
        <w:drawing>
          <wp:inline distB="19050" distT="19050" distL="19050" distR="19050">
            <wp:extent cx="5905500" cy="61117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611177"/>
                    </a:xfrm>
                    <a:prstGeom prst="rect"/>
                    <a:ln/>
                  </pic:spPr>
                </pic:pic>
              </a:graphicData>
            </a:graphic>
          </wp:inline>
        </w:drawing>
      </w:r>
      <w:r w:rsidDel="00000000" w:rsidR="00000000" w:rsidRPr="00000000">
        <w:rPr>
          <w:rFonts w:ascii="Google Sans Text" w:cs="Google Sans Text" w:eastAsia="Google Sans Text" w:hAnsi="Google Sans Text"/>
          <w:b w:val="1"/>
          <w:bCs w:val="1"/>
          <w:i w:val="0"/>
          <w:iCs w:val="0"/>
          <w:color w:val="1f1f1f"/>
          <w:sz w:val="24"/>
          <w:szCs w:val="24"/>
          <w:rtl w:val="0"/>
        </w:rPr>
        <w:t xml:space="preserve">Scoring Definitions (Scale of 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Scoring Guidance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How many people/systems will this affect?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Single team; 3: Department; 5: Enterprise-wide / External.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What is the magnitude of the benefit?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Minor; 3: 20-40% time saved; 5: Transformational Public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Confidence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How sure are we of the results?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 Speculative; 0.5: Low; 0.8: Medium; 1.0: Proven/Validated.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Person-months required to build/deploy.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&lt;1 month; 3: Quarter; 12+: High-complexity build.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Ambiguity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Technical/Data 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Out-of-the-box; 3: RAG/Fine-tuning; 5: Experimental/Custom.</w:t>
            </w:r>
          </w:p>
        </w:tc>
      </w:tr>
    </w:tbl>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Strategic Multipliers (</w:t>
      </w:r>
      <w:r w:rsidDel="00000000" w:rsidR="00000000" w:rsidRPr="00000000">
        <w:rPr>
          <w:rFonts w:ascii="Google Sans Text" w:cs="Google Sans Text" w:eastAsia="Google Sans Text" w:hAnsi="Google Sans Text"/>
          <w:b w:val="1"/>
          <w:bCs w:val="1"/>
          <w:i w:val="0"/>
          <w:iCs w:val="0"/>
          <w:color w:val="1f1f1f"/>
          <w:sz w:val="24"/>
          <w:szCs w:val="24"/>
        </w:rPr>
        <w:drawing>
          <wp:inline distB="19050" distT="19050" distL="19050" distR="19050">
            <wp:extent cx="694035" cy="34383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4035" cy="343834"/>
                    </a:xfrm>
                    <a:prstGeom prst="rect"/>
                    <a:ln/>
                  </pic:spPr>
                </pic:pic>
              </a:graphicData>
            </a:graphic>
          </wp:inline>
        </w:drawing>
      </w:r>
      <w:r w:rsidDel="00000000" w:rsidR="00000000" w:rsidRPr="00000000">
        <w:rPr>
          <w:rFonts w:ascii="Google Sans Text" w:cs="Google Sans Text" w:eastAsia="Google Sans Text" w:hAnsi="Google Sans Text"/>
          <w:b w:val="1"/>
          <w:bCs w:val="1"/>
          <w:i w:val="0"/>
          <w:iCs w:val="0"/>
          <w:color w:val="1f1f1f"/>
          <w:sz w:val="24"/>
          <w:szCs w:val="24"/>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Resilience:</w:t>
      </w:r>
      <w:r w:rsidDel="00000000" w:rsidR="00000000" w:rsidRPr="00000000">
        <w:rPr>
          <w:rFonts w:ascii="Google Sans Text" w:cs="Google Sans Text" w:eastAsia="Google Sans Text" w:hAnsi="Google Sans Text"/>
          <w:color w:val="1f1f1f"/>
          <w:rtl w:val="0"/>
        </w:rPr>
        <w:t xml:space="preserve"> 1.5 (Top Priority)</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Analysis &amp; Decision Support:</w:t>
      </w:r>
      <w:r w:rsidDel="00000000" w:rsidR="00000000" w:rsidRPr="00000000">
        <w:rPr>
          <w:rFonts w:ascii="Google Sans Text" w:cs="Google Sans Text" w:eastAsia="Google Sans Text" w:hAnsi="Google Sans Text"/>
          <w:color w:val="1f1f1f"/>
          <w:rtl w:val="0"/>
        </w:rPr>
        <w:t xml:space="preserve"> 1.4</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Productivity:</w:t>
      </w:r>
      <w:r w:rsidDel="00000000" w:rsidR="00000000" w:rsidRPr="00000000">
        <w:rPr>
          <w:rFonts w:ascii="Google Sans Text" w:cs="Google Sans Text" w:eastAsia="Google Sans Text" w:hAnsi="Google Sans Text"/>
          <w:color w:val="1f1f1f"/>
          <w:rtl w:val="0"/>
        </w:rPr>
        <w:t xml:space="preserve"> 1.2</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Exploratory/No Data:</w:t>
      </w:r>
      <w:r w:rsidDel="00000000" w:rsidR="00000000" w:rsidRPr="00000000">
        <w:rPr>
          <w:rFonts w:ascii="Google Sans Text" w:cs="Google Sans Text" w:eastAsia="Google Sans Text" w:hAnsi="Google Sans Text"/>
          <w:color w:val="1f1f1f"/>
          <w:rtl w:val="0"/>
        </w:rPr>
        <w:t xml:space="preserve"> 0.9</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2.2 The Infrastructure Gate (Data Sovereignty)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non-negotiable principle is the protection of "Highly Restricted" data. This gate determines the technical feasibility and automatically adjusts the </w:t>
      </w:r>
      <w:r w:rsidDel="00000000" w:rsidR="00000000" w:rsidRPr="00000000">
        <w:rPr>
          <w:rFonts w:ascii="Google Sans Text" w:cs="Google Sans Text" w:eastAsia="Google Sans Text" w:hAnsi="Google Sans Text"/>
          <w:b w:val="1"/>
          <w:bCs w:val="1"/>
          <w:color w:val="1f1f1f"/>
          <w:rtl w:val="0"/>
        </w:rPr>
        <w:t xml:space="preserve">Effort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Ambiguity</w:t>
      </w:r>
      <w:r w:rsidDel="00000000" w:rsidR="00000000" w:rsidRPr="00000000">
        <w:rPr>
          <w:rFonts w:ascii="Google Sans Text" w:cs="Google Sans Text" w:eastAsia="Google Sans Text" w:hAnsi="Google Sans Text"/>
          <w:color w:val="1f1f1f"/>
          <w:rtl w:val="0"/>
        </w:rPr>
        <w:t xml:space="preserve"> scores.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Public/General Data:</w:t>
      </w:r>
      <w:r w:rsidDel="00000000" w:rsidR="00000000" w:rsidRPr="00000000">
        <w:rPr>
          <w:rFonts w:ascii="Google Sans Text" w:cs="Google Sans Text" w:eastAsia="Google Sans Text" w:hAnsi="Google Sans Text"/>
          <w:color w:val="1f1f1f"/>
          <w:rtl w:val="0"/>
        </w:rPr>
        <w:t xml:space="preserve"> Use Cloud-based tools (Azure AI Foundry, Google AI) to maximize speed and lower cost.</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Restricted Data:</w:t>
      </w:r>
      <w:r w:rsidDel="00000000" w:rsidR="00000000" w:rsidRPr="00000000">
        <w:rPr>
          <w:rFonts w:ascii="Google Sans Text" w:cs="Google Sans Text" w:eastAsia="Google Sans Text" w:hAnsi="Google Sans Text"/>
          <w:color w:val="1f1f1f"/>
          <w:rtl w:val="0"/>
        </w:rPr>
        <w:t xml:space="preserve"> Requires on-premise or sovereign environments (Azure Local, Cloudera AI).</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Highly Restricted Data: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Cloud Prohibited.</w:t>
      </w:r>
      <w:r w:rsidDel="00000000" w:rsidR="00000000" w:rsidRPr="00000000">
        <w:rPr>
          <w:rFonts w:ascii="Google Sans Text" w:cs="Google Sans Text" w:eastAsia="Google Sans Text" w:hAnsi="Google Sans Text"/>
          <w:color w:val="1f1f1f"/>
          <w:rtl w:val="0"/>
        </w:rPr>
        <w:t xml:space="preserve"> Must utilize air-gapped or strictly controlled internal infrastructure. These projects will naturally have higher "Effort" scores due to hardware and security overhead.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2.3 The "Fail Fast" Triage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 categorizes prioritized cases into three tiers: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Quick Wins (Score &gt; 20):</w:t>
      </w:r>
      <w:r w:rsidDel="00000000" w:rsidR="00000000" w:rsidRPr="00000000">
        <w:rPr>
          <w:rFonts w:ascii="Google Sans Text" w:cs="Google Sans Text" w:eastAsia="Google Sans Text" w:hAnsi="Google Sans Text"/>
          <w:color w:val="1f1f1f"/>
          <w:rtl w:val="0"/>
        </w:rPr>
        <w:t xml:space="preserve"> High impact, low effort. Prioritize for immediate execution.</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Strategic Bets (Score 10-20):</w:t>
      </w:r>
      <w:r w:rsidDel="00000000" w:rsidR="00000000" w:rsidRPr="00000000">
        <w:rPr>
          <w:rFonts w:ascii="Google Sans Text" w:cs="Google Sans Text" w:eastAsia="Google Sans Text" w:hAnsi="Google Sans Text"/>
          <w:color w:val="1f1f1f"/>
          <w:rtl w:val="0"/>
        </w:rPr>
        <w:t xml:space="preserve"> High impact, high effort. Require Executive sponsorship.</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Innovation Sandbox (Score &lt; 10):</w:t>
      </w:r>
      <w:r w:rsidDel="00000000" w:rsidR="00000000" w:rsidRPr="00000000">
        <w:rPr>
          <w:rFonts w:ascii="Google Sans Text" w:cs="Google Sans Text" w:eastAsia="Google Sans Text" w:hAnsi="Google Sans Text"/>
          <w:color w:val="1f1f1f"/>
          <w:rtl w:val="0"/>
        </w:rPr>
        <w:t xml:space="preserve"> Low-cost experiments. Use to foster a "culture of failing" without significant resource drain. Limit these to 6-week cycles.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3. Roles and Responsibilities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Use Case Sponsor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Defines the business problem, identifies the "benefit" (e.g., FTE saved), and ensures staff availability for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Steering Committee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Reviews prioritized scores monthly. Approves funding and resource allocation for "Strategic Bets."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Science Hub (DSH)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Validates the "Ambiguity" and "Effort" scores from a technical perspective. Manages the Cloudera/Azure Local environments.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IT Security / CISO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Acts as the ultimate gatekeeper for Data Classification compliance. Approves the security architecture for any "Restricted" use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Departmental Champions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Subject matter experts who perform the "human-in-the-loop" verification to ensure AI outputs are accurate and safe.</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4. Framework Management and Resources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4.1 Intake and Review Cycle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Submission:</w:t>
      </w:r>
      <w:r w:rsidDel="00000000" w:rsidR="00000000" w:rsidRPr="00000000">
        <w:rPr>
          <w:rFonts w:ascii="Google Sans Text" w:cs="Google Sans Text" w:eastAsia="Google Sans Text" w:hAnsi="Google Sans Text"/>
          <w:color w:val="1f1f1f"/>
          <w:rtl w:val="0"/>
        </w:rPr>
        <w:t xml:space="preserve"> All new ideas enter via the "AI Use Case Register."</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Triage (Bi-Weekly):</w:t>
      </w:r>
      <w:r w:rsidDel="00000000" w:rsidR="00000000" w:rsidRPr="00000000">
        <w:rPr>
          <w:rFonts w:ascii="Google Sans Text" w:cs="Google Sans Text" w:eastAsia="Google Sans Text" w:hAnsi="Google Sans Text"/>
          <w:color w:val="1f1f1f"/>
          <w:rtl w:val="0"/>
        </w:rPr>
        <w:t xml:space="preserve"> Technical teams (DSH/IT) provide initial scoring for Effort and Ambiguity.</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Prioritization (Monthly):</w:t>
      </w:r>
      <w:r w:rsidDel="00000000" w:rsidR="00000000" w:rsidRPr="00000000">
        <w:rPr>
          <w:rFonts w:ascii="Google Sans Text" w:cs="Google Sans Text" w:eastAsia="Google Sans Text" w:hAnsi="Google Sans Text"/>
          <w:color w:val="1f1f1f"/>
          <w:rtl w:val="0"/>
        </w:rPr>
        <w:t xml:space="preserve"> The AI Steering Committee reviews the ranked list and "slots" projects into the roadmap based on resource availability.</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Retrospective:</w:t>
      </w:r>
      <w:r w:rsidDel="00000000" w:rsidR="00000000" w:rsidRPr="00000000">
        <w:rPr>
          <w:rFonts w:ascii="Google Sans Text" w:cs="Google Sans Text" w:eastAsia="Google Sans Text" w:hAnsi="Google Sans Text"/>
          <w:color w:val="1f1f1f"/>
          <w:rtl w:val="0"/>
        </w:rPr>
        <w:t xml:space="preserve"> Projects that fail to meet KPIs within the pilot phase are decommissioned to free up resources.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4.2 Resource Allocation Guidelines</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70/20/10 Rule:</w:t>
      </w:r>
      <w:r w:rsidDel="00000000" w:rsidR="00000000" w:rsidRPr="00000000">
        <w:rPr>
          <w:rFonts w:ascii="Google Sans Text" w:cs="Google Sans Text" w:eastAsia="Google Sans Text" w:hAnsi="Google Sans Text"/>
          <w:color w:val="1f1f1f"/>
          <w:rtl w:val="0"/>
        </w:rPr>
        <w:t xml:space="preserve"> 70% of resources dedicated to high-impact "Strategic Bets"; 20% to "Quick Wins" for productivity; 10% to the "Innovation Sandbox" to encourage experimentation.</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Compute Budgeting:</w:t>
      </w:r>
      <w:r w:rsidDel="00000000" w:rsidR="00000000" w:rsidRPr="00000000">
        <w:rPr>
          <w:rFonts w:ascii="Google Sans Text" w:cs="Google Sans Text" w:eastAsia="Google Sans Text" w:hAnsi="Google Sans Text"/>
          <w:color w:val="1f1f1f"/>
          <w:rtl w:val="0"/>
        </w:rPr>
        <w:t xml:space="preserve"> Cloud GPU costs must be monitored via Azure Cost Management. On-premise GPU utilization (Cloudera) is managed to ensure high-priority policy research takes precedence over low-priority internal automation.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4.3 Documentation and Reporting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register will serve as the "Single Source of Truth." Every project must have a documented:</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Baseline Metric:</w:t>
      </w:r>
      <w:r w:rsidDel="00000000" w:rsidR="00000000" w:rsidRPr="00000000">
        <w:rPr>
          <w:rFonts w:ascii="Google Sans Text" w:cs="Google Sans Text" w:eastAsia="Google Sans Text" w:hAnsi="Google Sans Text"/>
          <w:color w:val="1f1f1f"/>
          <w:rtl w:val="0"/>
        </w:rPr>
        <w:t xml:space="preserve"> Current time/cost of the manual process.</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Success Threshold:</w:t>
      </w:r>
      <w:r w:rsidDel="00000000" w:rsidR="00000000" w:rsidRPr="00000000">
        <w:rPr>
          <w:rFonts w:ascii="Google Sans Text" w:cs="Google Sans Text" w:eastAsia="Google Sans Text" w:hAnsi="Google Sans Text"/>
          <w:color w:val="1f1f1f"/>
          <w:rtl w:val="0"/>
        </w:rPr>
        <w:t xml:space="preserve"> The minimum accuracy or time saving required to move from PoC to Production.</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Exit Strategy:</w:t>
      </w:r>
      <w:r w:rsidDel="00000000" w:rsidR="00000000" w:rsidRPr="00000000">
        <w:rPr>
          <w:rFonts w:ascii="Google Sans Text" w:cs="Google Sans Text" w:eastAsia="Google Sans Text" w:hAnsi="Google Sans Text"/>
          <w:color w:val="1f1f1f"/>
          <w:rtl w:val="0"/>
        </w:rPr>
        <w:t xml:space="preserve"> A plan to revert to manual processes or alternative tools if the AI experiment fails.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