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322C" w14:textId="0222545B" w:rsidR="00CF3D9A" w:rsidRDefault="00326CD4">
      <w:r>
        <w:t>Milan Parikh</w:t>
      </w:r>
    </w:p>
    <w:p w14:paraId="0B2425D4" w14:textId="7E526B0D" w:rsidR="00326CD4" w:rsidRDefault="00326CD4" w:rsidP="00326CD4">
      <w:pPr>
        <w:jc w:val="center"/>
      </w:pPr>
      <w:proofErr w:type="spellStart"/>
      <w:r>
        <w:t>AdvaitaBio</w:t>
      </w:r>
      <w:proofErr w:type="spellEnd"/>
      <w:r>
        <w:t xml:space="preserve"> Test Writeup</w:t>
      </w:r>
    </w:p>
    <w:p w14:paraId="030ED674" w14:textId="261171B8" w:rsidR="00326CD4" w:rsidRDefault="00326CD4" w:rsidP="00326CD4">
      <w:r>
        <w:t>Part 1 – Data Ingestion/Filtering</w:t>
      </w:r>
    </w:p>
    <w:p w14:paraId="0C02BFFE" w14:textId="01EBBA9E" w:rsidR="00326CD4" w:rsidRDefault="00326CD4" w:rsidP="00326CD4">
      <w:r>
        <w:t xml:space="preserve">This part is </w:t>
      </w:r>
      <w:proofErr w:type="gramStart"/>
      <w:r>
        <w:t>fairly straightforward</w:t>
      </w:r>
      <w:proofErr w:type="gramEnd"/>
      <w:r>
        <w:t xml:space="preserve">, I would just note that my choices on filtering thresholds were mainly taken from </w:t>
      </w:r>
      <w:proofErr w:type="spellStart"/>
      <w:r>
        <w:t>scanpy</w:t>
      </w:r>
      <w:proofErr w:type="spellEnd"/>
      <w:r>
        <w:t xml:space="preserve"> and </w:t>
      </w:r>
      <w:proofErr w:type="spellStart"/>
      <w:r>
        <w:t>squidpy</w:t>
      </w:r>
      <w:proofErr w:type="spellEnd"/>
      <w:r>
        <w:t xml:space="preserve"> tutorials, but the data appears to have already been filtered</w:t>
      </w:r>
      <w:r w:rsidR="009A53EA">
        <w:t xml:space="preserve"> because the mitochondrial gene percentage was 0 across the board.</w:t>
      </w:r>
    </w:p>
    <w:p w14:paraId="455C4392" w14:textId="5EC74AB4" w:rsidR="00326CD4" w:rsidRDefault="00326CD4" w:rsidP="00326CD4">
      <w:r>
        <w:t>Part 2 – Ligand-Receptor Analysis</w:t>
      </w:r>
    </w:p>
    <w:p w14:paraId="272AC561" w14:textId="67F3F036" w:rsidR="00326CD4" w:rsidRDefault="00326CD4" w:rsidP="00326CD4">
      <w:r>
        <w:t>I’ve had to switch between Python and R (</w:t>
      </w:r>
      <w:proofErr w:type="spellStart"/>
      <w:r>
        <w:t>anndata</w:t>
      </w:r>
      <w:proofErr w:type="spellEnd"/>
      <w:r>
        <w:t xml:space="preserve"> and Seurat) in the past and it can be a little tricky, so I decided to use </w:t>
      </w:r>
      <w:proofErr w:type="spellStart"/>
      <w:r>
        <w:t>Squidpy’s</w:t>
      </w:r>
      <w:proofErr w:type="spellEnd"/>
      <w:r>
        <w:t xml:space="preserve"> built in ligand-receptor analysis function (</w:t>
      </w:r>
      <w:proofErr w:type="spellStart"/>
      <w:r>
        <w:t>ligrec</w:t>
      </w:r>
      <w:proofErr w:type="spellEnd"/>
      <w:r>
        <w:t xml:space="preserve">) in the interest of time. </w:t>
      </w:r>
      <w:proofErr w:type="spellStart"/>
      <w:r>
        <w:t>Squidpy’s</w:t>
      </w:r>
      <w:proofErr w:type="spellEnd"/>
      <w:r>
        <w:t xml:space="preserve"> documentation states that their algorithm is a faster Python implementation of </w:t>
      </w:r>
      <w:proofErr w:type="spellStart"/>
      <w:r>
        <w:t>CellPhoneDB</w:t>
      </w:r>
      <w:proofErr w:type="spellEnd"/>
      <w:r>
        <w:t xml:space="preserve"> with a larger set of interactions (</w:t>
      </w:r>
      <w:proofErr w:type="spellStart"/>
      <w:r>
        <w:t>Omnipath</w:t>
      </w:r>
      <w:proofErr w:type="spellEnd"/>
      <w:r>
        <w:t xml:space="preserve"> database), so it felt like a safe choice. </w:t>
      </w:r>
      <w:proofErr w:type="gramStart"/>
      <w:r w:rsidR="009A53EA">
        <w:t>Unfortunately</w:t>
      </w:r>
      <w:proofErr w:type="gramEnd"/>
      <w:r w:rsidR="009A53EA">
        <w:t xml:space="preserve"> I don’t believe this method </w:t>
      </w:r>
      <w:proofErr w:type="gramStart"/>
      <w:r w:rsidR="009A53EA">
        <w:t>actually takes</w:t>
      </w:r>
      <w:proofErr w:type="gramEnd"/>
      <w:r w:rsidR="009A53EA">
        <w:t xml:space="preserve"> spatial context into consideration,</w:t>
      </w:r>
      <w:r w:rsidR="004E25D1">
        <w:t xml:space="preserve"> which is a severe limitation</w:t>
      </w:r>
      <w:r w:rsidR="009A53EA">
        <w:t>. I would have chosen 150um as the threshold based on literature (</w:t>
      </w:r>
      <w:hyperlink r:id="rId4" w:history="1">
        <w:r w:rsidR="004E25D1" w:rsidRPr="005173B6">
          <w:rPr>
            <w:rStyle w:val="Hyperlink"/>
          </w:rPr>
          <w:t>https://pmc.ncbi.nlm.nih.gov/articles/PMC109</w:t>
        </w:r>
        <w:r w:rsidR="004E25D1" w:rsidRPr="005173B6">
          <w:rPr>
            <w:rStyle w:val="Hyperlink"/>
          </w:rPr>
          <w:t>7</w:t>
        </w:r>
        <w:r w:rsidR="004E25D1" w:rsidRPr="005173B6">
          <w:rPr>
            <w:rStyle w:val="Hyperlink"/>
          </w:rPr>
          <w:t>2757/</w:t>
        </w:r>
      </w:hyperlink>
      <w:r w:rsidR="009A53EA">
        <w:t>)</w:t>
      </w:r>
      <w:r w:rsidR="004E25D1">
        <w:t xml:space="preserve"> for signaling </w:t>
      </w:r>
      <w:r w:rsidR="004A65F8">
        <w:t xml:space="preserve">molecule </w:t>
      </w:r>
      <w:r w:rsidR="004E25D1">
        <w:t>diffusion</w:t>
      </w:r>
      <w:r w:rsidR="009A53EA">
        <w:t>.</w:t>
      </w:r>
    </w:p>
    <w:p w14:paraId="6CA0A28C" w14:textId="7AD61182" w:rsidR="009A53EA" w:rsidRDefault="00326CD4" w:rsidP="00326CD4">
      <w:r>
        <w:t xml:space="preserve">There were only four cell types pre-annotated: endothelial, neural, cardiac muscle, and cardiac mesenchymal cells, along with an unknown group. After running </w:t>
      </w:r>
      <w:proofErr w:type="spellStart"/>
      <w:r>
        <w:t>Squidpy’s</w:t>
      </w:r>
      <w:proofErr w:type="spellEnd"/>
      <w:r>
        <w:t xml:space="preserve"> </w:t>
      </w:r>
      <w:proofErr w:type="spellStart"/>
      <w:r>
        <w:t>ligrec</w:t>
      </w:r>
      <w:proofErr w:type="spellEnd"/>
      <w:r>
        <w:t xml:space="preserve"> function, only endothelial and neural cells had significant </w:t>
      </w:r>
      <w:r w:rsidR="00FA7AB0">
        <w:t>interaction pairs. Endothelial cells showed the highest number of significant interactions</w:t>
      </w:r>
      <w:r w:rsidR="009A53EA">
        <w:t>, implying they act as the most communicative hubs in this context</w:t>
      </w:r>
      <w:r w:rsidR="004A65F8">
        <w:t>, which does make sense biologically.</w:t>
      </w:r>
    </w:p>
    <w:p w14:paraId="36984321" w14:textId="64C3D01E" w:rsidR="0096372D" w:rsidRDefault="0096372D" w:rsidP="00326CD4">
      <w:r>
        <w:t>Part 3 – Pathway analysis</w:t>
      </w:r>
    </w:p>
    <w:p w14:paraId="37AE38AB" w14:textId="155DE8AF" w:rsidR="00C873B4" w:rsidRDefault="00C873B4" w:rsidP="00326CD4">
      <w:r>
        <w:t>For the pathway analysis I decided to use a tool called decoupler, wh</w:t>
      </w:r>
      <w:r w:rsidR="0088790C">
        <w:t xml:space="preserve">ich includes a few different models for enrichment analysis. I used the </w:t>
      </w:r>
      <w:proofErr w:type="spellStart"/>
      <w:r w:rsidR="0088790C">
        <w:t>MSigDB</w:t>
      </w:r>
      <w:proofErr w:type="spellEnd"/>
      <w:r w:rsidR="0088790C">
        <w:t xml:space="preserve"> Hallmark gene sets and decoupler’s univariate linear model (</w:t>
      </w:r>
      <w:proofErr w:type="spellStart"/>
      <w:r w:rsidR="0088790C">
        <w:t>ulm</w:t>
      </w:r>
      <w:proofErr w:type="spellEnd"/>
      <w:r w:rsidR="0088790C">
        <w:t>)</w:t>
      </w:r>
      <w:r w:rsidR="00C827DC">
        <w:t xml:space="preserve"> to calculate per pathway scores</w:t>
      </w:r>
      <w:r w:rsidR="0088790C">
        <w:t xml:space="preserve">. </w:t>
      </w:r>
      <w:r w:rsidR="00C827DC">
        <w:t xml:space="preserve">I then scaled the scores and used them to </w:t>
      </w:r>
      <w:r w:rsidR="007B6F4B">
        <w:t xml:space="preserve">run nearest neighbors and </w:t>
      </w:r>
      <w:proofErr w:type="spellStart"/>
      <w:r w:rsidR="007B6F4B">
        <w:t>leiden</w:t>
      </w:r>
      <w:proofErr w:type="spellEnd"/>
      <w:r w:rsidR="007B6F4B">
        <w:t xml:space="preserve"> clustering.</w:t>
      </w:r>
      <w:r w:rsidR="0077659D">
        <w:t xml:space="preserve"> I plotted this on a UMAP and then on the </w:t>
      </w:r>
      <w:r w:rsidR="00B1019A">
        <w:t xml:space="preserve">spatial tissue image, and it became clear that </w:t>
      </w:r>
      <w:r w:rsidR="00105BC3">
        <w:t>both approaches have their pros and cons</w:t>
      </w:r>
      <w:r w:rsidR="00C27275">
        <w:t xml:space="preserve">. The </w:t>
      </w:r>
      <w:r w:rsidR="006E6186">
        <w:t xml:space="preserve">gene </w:t>
      </w:r>
      <w:r w:rsidR="004A65F8">
        <w:t>expression-based</w:t>
      </w:r>
      <w:r w:rsidR="00C27275">
        <w:t xml:space="preserve"> clustering </w:t>
      </w:r>
      <w:r w:rsidR="00B97630">
        <w:t>somewhat</w:t>
      </w:r>
      <w:r w:rsidR="00F258F5">
        <w:t xml:space="preserve"> </w:t>
      </w:r>
      <w:r w:rsidR="006E6186">
        <w:t>follow</w:t>
      </w:r>
      <w:r w:rsidR="00F258F5">
        <w:t>s</w:t>
      </w:r>
      <w:r w:rsidR="006E6186">
        <w:t xml:space="preserve"> the tissue structure</w:t>
      </w:r>
      <w:r w:rsidR="00105BC3">
        <w:t xml:space="preserve"> </w:t>
      </w:r>
      <w:r w:rsidR="00B97630">
        <w:t>and is not very noisy</w:t>
      </w:r>
      <w:r w:rsidR="00F07D23">
        <w:t>. T</w:t>
      </w:r>
      <w:r w:rsidR="006E6186">
        <w:t>he pathway</w:t>
      </w:r>
      <w:r w:rsidR="004A65F8">
        <w:t>-</w:t>
      </w:r>
      <w:r w:rsidR="006E6186">
        <w:t xml:space="preserve">based clustering </w:t>
      </w:r>
      <w:r w:rsidR="00F258F5">
        <w:t xml:space="preserve">generally did a better job </w:t>
      </w:r>
      <w:r w:rsidR="00F07D23">
        <w:t>of defining border regions but is quite noisy</w:t>
      </w:r>
      <w:r w:rsidR="0089630F">
        <w:t xml:space="preserve">. </w:t>
      </w:r>
      <w:r w:rsidR="00F07D23">
        <w:t>It has</w:t>
      </w:r>
      <w:r w:rsidR="0089630F">
        <w:t xml:space="preserve"> distinct clusters </w:t>
      </w:r>
      <w:r w:rsidR="004A65F8">
        <w:t xml:space="preserve">that </w:t>
      </w:r>
      <w:r w:rsidR="0089630F">
        <w:t xml:space="preserve">represent </w:t>
      </w:r>
      <w:r w:rsidR="00514DF2">
        <w:t xml:space="preserve">closer or further </w:t>
      </w:r>
      <w:r w:rsidR="004A65F8">
        <w:t>regions</w:t>
      </w:r>
      <w:r w:rsidR="0089630F">
        <w:t xml:space="preserve"> bordering the tissue, and then several </w:t>
      </w:r>
      <w:r w:rsidR="00514DF2">
        <w:t xml:space="preserve">clusters </w:t>
      </w:r>
      <w:r w:rsidR="0089630F">
        <w:t>that are only present within</w:t>
      </w:r>
      <w:r w:rsidR="00A37B0E">
        <w:t>.</w:t>
      </w:r>
    </w:p>
    <w:p w14:paraId="71D90F74" w14:textId="176A7380" w:rsidR="002458F9" w:rsidRDefault="002458F9" w:rsidP="00326CD4">
      <w:r>
        <w:t>Part 4 – React UI</w:t>
      </w:r>
    </w:p>
    <w:p w14:paraId="78718770" w14:textId="63910514" w:rsidR="002458F9" w:rsidRDefault="00796429" w:rsidP="00326CD4">
      <w:r>
        <w:t xml:space="preserve">I chose to use JSON as the pipeline output file and therefore React UI input, to allow for a single file input. </w:t>
      </w:r>
      <w:r w:rsidR="00544F41">
        <w:t xml:space="preserve">A CSV file would have been more user </w:t>
      </w:r>
      <w:proofErr w:type="gramStart"/>
      <w:r w:rsidR="00544F41">
        <w:t>readable</w:t>
      </w:r>
      <w:proofErr w:type="gramEnd"/>
      <w:r w:rsidR="00544F41">
        <w:t xml:space="preserve"> but I would have needed </w:t>
      </w:r>
      <w:r w:rsidR="00544F41">
        <w:lastRenderedPageBreak/>
        <w:t xml:space="preserve">two, one for the </w:t>
      </w:r>
      <w:r w:rsidR="00BA1624">
        <w:t xml:space="preserve">spatial plot and another for the interaction table. </w:t>
      </w:r>
      <w:r w:rsidR="00073D33">
        <w:t xml:space="preserve">The spatial plot </w:t>
      </w:r>
      <w:proofErr w:type="gramStart"/>
      <w:r w:rsidR="00073D33">
        <w:t>start</w:t>
      </w:r>
      <w:proofErr w:type="gramEnd"/>
      <w:r w:rsidR="00073D33">
        <w:t xml:space="preserve"> with the spots colored by the </w:t>
      </w:r>
      <w:proofErr w:type="gramStart"/>
      <w:r w:rsidR="00073D33">
        <w:t>pathway based</w:t>
      </w:r>
      <w:proofErr w:type="gramEnd"/>
      <w:r w:rsidR="00073D33">
        <w:t xml:space="preserve"> clusters by </w:t>
      </w:r>
      <w:proofErr w:type="gramStart"/>
      <w:r w:rsidR="00073D33">
        <w:t>default, and</w:t>
      </w:r>
      <w:proofErr w:type="gramEnd"/>
      <w:r w:rsidR="00073D33">
        <w:t xml:space="preserve"> has the option to switch between gene expression or </w:t>
      </w:r>
      <w:proofErr w:type="gramStart"/>
      <w:r w:rsidR="00073D33">
        <w:t>pathway based</w:t>
      </w:r>
      <w:proofErr w:type="gramEnd"/>
      <w:r w:rsidR="00073D33">
        <w:t xml:space="preserve"> clustering with a dropdown. There is a toggle to switch between pathways or genes, and then the same dropdown becomes a list of genes. </w:t>
      </w:r>
      <w:r w:rsidR="005538B9">
        <w:t xml:space="preserve">I would have made the gene list filterable/searchable given more time. The interaction table is similarly very </w:t>
      </w:r>
      <w:proofErr w:type="gramStart"/>
      <w:r w:rsidR="005538B9">
        <w:t>minimal,</w:t>
      </w:r>
      <w:proofErr w:type="gramEnd"/>
      <w:r w:rsidR="005538B9">
        <w:t xml:space="preserve"> </w:t>
      </w:r>
      <w:r w:rsidR="00B41711">
        <w:t xml:space="preserve">it </w:t>
      </w:r>
      <w:r w:rsidR="007F1BCC">
        <w:t xml:space="preserve">is a paginated </w:t>
      </w:r>
      <w:r w:rsidR="00B41711">
        <w:t xml:space="preserve">material DataGrid and at least allows for </w:t>
      </w:r>
      <w:r w:rsidR="00D40A94">
        <w:t>sorting and filtering by column values</w:t>
      </w:r>
      <w:r w:rsidR="007F1BCC">
        <w:t>.</w:t>
      </w:r>
    </w:p>
    <w:p w14:paraId="2A97E04A" w14:textId="102E513E" w:rsidR="0017227C" w:rsidRDefault="0017227C" w:rsidP="00326CD4">
      <w:r>
        <w:t>GPU vs CPU</w:t>
      </w:r>
    </w:p>
    <w:p w14:paraId="0922851C" w14:textId="4B6FF2E8" w:rsidR="0017227C" w:rsidRDefault="0017227C" w:rsidP="00326CD4">
      <w:r>
        <w:t xml:space="preserve">I don’t believe </w:t>
      </w:r>
      <w:r w:rsidR="00A85F80">
        <w:t>many of the tools I used would benefit</w:t>
      </w:r>
      <w:r>
        <w:t xml:space="preserve"> from using GPU. However, I know there are some potentially better versions of </w:t>
      </w:r>
      <w:r w:rsidR="002D4D0B">
        <w:t>some that can use GPU to speed things up. Rapids-</w:t>
      </w:r>
      <w:proofErr w:type="spellStart"/>
      <w:r w:rsidR="002D4D0B">
        <w:t>singlecell</w:t>
      </w:r>
      <w:proofErr w:type="spellEnd"/>
      <w:r w:rsidR="002D4D0B">
        <w:t xml:space="preserve"> allows for GPU accelerated </w:t>
      </w:r>
      <w:r w:rsidR="00F538F6">
        <w:t>single cell analysis, and there are some ligand-receptor analysis tools that can use GPU now.</w:t>
      </w:r>
    </w:p>
    <w:p w14:paraId="0B2E1F11" w14:textId="20AF9719" w:rsidR="00326CD4" w:rsidRDefault="00FA7AB0" w:rsidP="00326CD4">
      <w:r>
        <w:t xml:space="preserve"> </w:t>
      </w:r>
    </w:p>
    <w:sectPr w:rsidR="0032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D4"/>
    <w:rsid w:val="00073D33"/>
    <w:rsid w:val="00102CF5"/>
    <w:rsid w:val="00105BC3"/>
    <w:rsid w:val="00134BA9"/>
    <w:rsid w:val="0017227C"/>
    <w:rsid w:val="002458F9"/>
    <w:rsid w:val="002D4D0B"/>
    <w:rsid w:val="00326CD4"/>
    <w:rsid w:val="004A65F8"/>
    <w:rsid w:val="004E25D1"/>
    <w:rsid w:val="004E78E1"/>
    <w:rsid w:val="00514DF2"/>
    <w:rsid w:val="00544F41"/>
    <w:rsid w:val="005538B9"/>
    <w:rsid w:val="006E6186"/>
    <w:rsid w:val="00736BD6"/>
    <w:rsid w:val="0077659D"/>
    <w:rsid w:val="00796429"/>
    <w:rsid w:val="007B6F4B"/>
    <w:rsid w:val="007F1BCC"/>
    <w:rsid w:val="0088790C"/>
    <w:rsid w:val="0089630F"/>
    <w:rsid w:val="0096372D"/>
    <w:rsid w:val="009A53EA"/>
    <w:rsid w:val="00A37B0E"/>
    <w:rsid w:val="00A85F80"/>
    <w:rsid w:val="00B1019A"/>
    <w:rsid w:val="00B41711"/>
    <w:rsid w:val="00B97630"/>
    <w:rsid w:val="00BA1624"/>
    <w:rsid w:val="00C27275"/>
    <w:rsid w:val="00C827DC"/>
    <w:rsid w:val="00C873B4"/>
    <w:rsid w:val="00CF3D9A"/>
    <w:rsid w:val="00D40A94"/>
    <w:rsid w:val="00D74D1E"/>
    <w:rsid w:val="00F07D23"/>
    <w:rsid w:val="00F258F5"/>
    <w:rsid w:val="00F538F6"/>
    <w:rsid w:val="00F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53941"/>
  <w15:chartTrackingRefBased/>
  <w15:docId w15:val="{C850AFE4-7AC2-FE4F-A311-E46BD6E3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5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5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mc.ncbi.nlm.nih.gov/articles/PMC109727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Parikh, Milan</dc:creator>
  <cp:keywords/>
  <dc:description/>
  <cp:lastModifiedBy>Parikh, Milan</cp:lastModifiedBy>
  <cp:revision>35</cp:revision>
  <dcterms:created xsi:type="dcterms:W3CDTF">2026-04-03T01:44:00Z</dcterms:created>
  <dcterms:modified xsi:type="dcterms:W3CDTF">2026-04-03T14:40:00Z</dcterms:modified>
</cp:coreProperties>
</file>