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9"/>
          <w:sz w:val="44"/>
          <w:szCs w:val="44"/>
        </w:rPr>
        <w:t xml:space="preserve">Piattaforma dati white label con Claude Code</w:t>
      </w:r>
    </w:p>
    <w:p>
      <w:pPr>
        <w:spacing w:after="120"/>
      </w:pPr>
      <w:r>
        <w:rPr>
          <w:color w:val="595959"/>
          <w:sz w:val="26"/>
          <w:szCs w:val="26"/>
        </w:rPr>
        <w:t xml:space="preserve">Guida operativa: dallo sviluppo locale alla consegna al cliente, in conformità a GDPR, NIS2 e AI Act</w:t>
      </w:r>
    </w:p>
    <w:p>
      <w:pPr>
        <w:pBdr>
          <w:bottom w:val="single" w:color="1F4E79" w:sz="6" w:space="8"/>
        </w:pBdr>
        <w:spacing w:after="240"/>
      </w:pPr>
      <w:r>
        <w:rPr>
          <w:color w:val="7F7F7F"/>
          <w:sz w:val="20"/>
          <w:szCs w:val="20"/>
        </w:rPr>
        <w:t xml:space="preserve">21 ottobre 2026</w:t>
      </w:r>
    </w:p>
    <w:p>
      <w:pPr>
        <w:pStyle w:val="Heading1"/>
        <w:keepNext/>
        <w:keepLines/>
      </w:pPr>
      <w:r>
        <w:t xml:space="preserve">Premessa</w:t>
      </w:r>
    </w:p>
    <w:p>
      <w:pPr>
        <w:spacing w:after="120"/>
      </w:pPr>
      <w:r>
        <w:t xml:space="preserve">Questo documento descrive come realizzare con Claude Code una piattaforma web che raccoglie dati, li visualizza e può essere estesa con nuove funzioni. La piattaforma viene sviluppata prima in locale e poi pubblicata online. È progettata per essere consegnata integralmente al cliente e replicata per altri clienti (white label).</w:t>
      </w:r>
    </w:p>
    <w:p>
      <w:pPr>
        <w:spacing w:after="120"/>
      </w:pPr>
      <w:r>
        <w:t xml:space="preserve">Claude Code lavora direttamente nel repository: scrive il codice, esegue comandi, gestisce database e test, usa Git e GitHub. Le scelte di architettura e la conformità normativa restano responsabilità di chi sviluppa e del cliente.</w:t>
      </w:r>
    </w:p>
    <w:p>
      <w:pPr>
        <w:pBdr>
          <w:left w:val="single" w:color="E69138" w:sz="24" w:space="8"/>
        </w:pBdr>
        <w:shd w:fill="FFF4E5" w:color="auto" w:val="clear"/>
        <w:spacing w:after="240" w:before="120"/>
        <w:ind w:left="160" w:right="160"/>
      </w:pPr>
      <w:r>
        <w:rPr>
          <w:b/>
          <w:bCs/>
        </w:rPr>
        <w:t xml:space="preserve">Avvertenza.</w:t>
      </w:r>
      <w:r>
        <w:t xml:space="preserve"> Le indicazioni normative di questo documento descrivono misure tecniche e organizzative e non costituiscono consulenza legale. Vanno validate con un DPO o un legale.</w:t>
      </w:r>
    </w:p>
    <w:p>
      <w:pPr>
        <w:pStyle w:val="Heading1"/>
        <w:keepNext/>
        <w:keepLines/>
      </w:pPr>
      <w:r>
        <w:t xml:space="preserve">1. Lo stack consigliato</w:t>
      </w:r>
    </w:p>
    <w:p>
      <w:pPr>
        <w:spacing w:after="120"/>
      </w:pPr>
      <w:r>
        <w:t xml:space="preserve">L'obiettivo è poter consegnare tutto al cliente senza vincoli verso fornitori. Per questo lo stack usa solo componenti open source che girano su qualsiasi infrastruttura.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41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Livello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Scelta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Perché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Applicazione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Next.js + TypeScript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Interfaccia e API in un unico progetto, molto diffuso: facile da passare ad altri sviluppatori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PostgreSQL</w:t>
            </w:r>
            <w:r>
              <w:t xml:space="preserve"> + ORM (Drizzle o Prisma) con migrazioni versionate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 e robusto. Ha la Row-Level Security per isolare i dati e i campi JSONB per dati flessibili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Autenticazione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Libreria open source con MFA, oppure </w:t>
            </w:r>
            <w:r>
              <w:rPr>
                <w:b/>
                <w:bCs/>
              </w:rPr>
              <w:t xml:space="preserve">Keycloak</w:t>
            </w:r>
            <w:r>
              <w:t xml:space="preserve"> se i clienti vogliono il login aziendale (SSO)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MFA serve per la NIS2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Grafici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ECharts o Recharts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interattive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Esecuzione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 + docker-compose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 stesso pacchetto gira sul PC dello sviluppatore, sul server e dal cliente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Codice e CI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+ GitHub Actions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 deploy automatici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 UE (Hetzner, OVHcloud, Scaleway, Aruba, AWS Milano)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Dati in UE, utile per il GDPR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 sconsigliano piattaforme proprietarie come Firebase: rendono difficile consegnare il codice e spostarlo su un'altra infrastruttura.</w:t>
      </w:r>
    </w:p>
    <w:p>
      <w:pPr>
        <w:pStyle w:val="Heading1"/>
        <w:pageBreakBefore/>
      </w:pPr>
      <w:r>
        <w:t xml:space="preserve">2. Gli step concreti</w:t>
      </w:r>
    </w:p>
    <w:p>
      <w:pPr>
        <w:pStyle w:val="Heading2"/>
        <w:keepNext/>
        <w:keepLines/>
      </w:pPr>
      <w:r>
        <w:t xml:space="preserve">Fase 0: preparazione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Installare sul proprio PC Node.js LTS, Docker Desktop, Git e Claude Code (in versione CLI, app desktop o estensione VS Code). La guida è su </w:t>
      </w:r>
      <w:hyperlink w:history="1" r:id="rIdjspuhjh43zocigd3yua8x">
        <w:r>
          <w:rPr>
            <w:rStyle w:val="Hyperlink"/>
          </w:rPr>
          <w:t xml:space="preserve">code.claude.com/docs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sessione cloud di Claude Code va bene per scrivere codice e aprire pull request. Per vedere il sito su 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 serve invece Claude Code installato in locale.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Creare un </w:t>
      </w:r>
      <w:r>
        <w:rPr>
          <w:b/>
          <w:bCs/>
        </w:rPr>
        <w:t xml:space="preserve">repository nuovo e privato</w:t>
      </w:r>
      <w:r>
        <w:t xml:space="preserve"> dedicato alla piattaforma.</w:t>
      </w:r>
    </w:p>
    <w:p>
      <w:pPr>
        <w:pStyle w:val="Heading2"/>
        <w:keepNext/>
        <w:keepLines/>
      </w:pPr>
      <w:r>
        <w:t xml:space="preserve">Fase 1: requisiti e architettura, prima del codice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Descrivere a Claude quali dati raccogliere, chi li inserisce, chi li vede, quali ruoli servono e quali grafici.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Usare la </w:t>
      </w:r>
      <w:r>
        <w:rPr>
          <w:b/>
          <w:bCs/>
        </w:rPr>
        <w:t xml:space="preserve">Plan Mode</w:t>
      </w:r>
      <w:r>
        <w:t xml:space="preserve"> (Shift+Tab): Claude propone un piano che va approvato prima che scriva codice.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risultato di questa fase sono tre elementi: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docs/requisiti.md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il modello dati (tabelle e relazioni)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 file </w:t>
      </w:r>
      <w:r>
        <w:rPr>
          <w:b/>
          <w:bCs/>
        </w:rPr>
        <w:t xml:space="preserve">CLAUDE.md</w:t>
      </w:r>
      <w:r>
        <w:t xml:space="preserve">, la "memoria" che Claude legge a ogni sessione. Contiene le regole del progetto, per esempio: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"mai nomi cliente nel codice"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"ogni dato personale deve avere una scadenza di conservazione"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"nessuna credenziale nel repo"</w:t>
      </w:r>
    </w:p>
    <w:p>
      <w:pPr>
        <w:pStyle w:val="Heading2"/>
        <w:keepNext/>
        <w:keepLines/>
      </w:pPr>
      <w:r>
        <w:t xml:space="preserve">Fase 2: scheletro del progetto in locale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Chiedere a Claude di creare: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il progetto Next.js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il </w:t>
      </w:r>
      <w:r>
        <w:rPr>
          <w:rFonts w:ascii="Consolas" w:cs="Consolas" w:eastAsia="Consolas" w:hAnsi="Consolas"/>
          <w:sz w:val="20"/>
          <w:szCs w:val="20"/>
        </w:rPr>
        <w:t xml:space="preserve">docker-compose</w:t>
      </w:r>
      <w:r>
        <w:t xml:space="preserve"> con PostgreSQL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prima migrazione del database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 dati finti di esempio (seed)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il controllo stile del codice (linter) e i test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 il sito gira su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t xml:space="preserve">.</w:t>
      </w:r>
    </w:p>
    <w:p>
      <w:pPr>
        <w:pStyle w:val="Heading2"/>
        <w:keepNext/>
        <w:keepLines/>
      </w:pPr>
      <w:r>
        <w:t xml:space="preserve">Fase 3: sviluppo per moduli</w:t>
      </w:r>
    </w:p>
    <w:p>
      <w:pPr>
        <w:spacing w:after="120"/>
      </w:pPr>
      <w:r>
        <w:t xml:space="preserve">Ordine consigliato dei moduli: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login e ruoli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raccolta dati (form, API, import CSV)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(grafici, filtri, export)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amministrazione (utenti, branding, registro attività)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funzioni GDPR (export e cancellazione dei dati di una persona)</w:t>
      </w:r>
    </w:p>
    <w:p>
      <w:pPr>
        <w:spacing w:after="120" w:before="120"/>
      </w:pPr>
      <w:r>
        <w:t xml:space="preserve">Ciclo per ogni funzione: si apre un branch, Claude implementa e scrive i test, poi passa </w:t>
      </w:r>
      <w:r>
        <w:rPr>
          <w:rFonts w:ascii="Consolas" w:cs="Consolas" w:eastAsia="Consolas" w:hAnsi="Consolas"/>
          <w:sz w:val="20"/>
          <w:szCs w:val="20"/>
        </w:rPr>
        <w:t xml:space="preserve">/code-review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/security-review</w:t>
      </w:r>
      <w:r>
        <w:t xml:space="preserve">. Segue una pull request su GitHub, la CI la verifica e si fa il merge.</w:t>
      </w:r>
    </w:p>
    <w:p>
      <w:pPr>
        <w:spacing w:after="120"/>
      </w:pPr>
      <w:r>
        <w:t xml:space="preserve">Strumenti di Claude Code utili in questa fase: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hooks</w:t>
      </w:r>
      <w:r>
        <w:t xml:space="preserve">: lanciano lint e test automaticamente dopo ogni modifica.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MCP Postgres</w:t>
      </w:r>
      <w:r>
        <w:t xml:space="preserve">: Claude interroga direttamente il database locale.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skill personalizzata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/nuovo-cliente</w:t>
      </w:r>
      <w:r>
        <w:t xml:space="preserve">: genera la configurazione per un nuovo cliente white label.</w:t>
      </w:r>
    </w:p>
    <w:p>
      <w:pPr>
        <w:pStyle w:val="Heading2"/>
        <w:keepNext/>
        <w:keepLines/>
      </w:pPr>
      <w:r>
        <w:t xml:space="preserve">Fase 4: pubblicazione 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ambienti, </w:t>
      </w:r>
      <w:r>
        <w:rPr>
          <w:b/>
          <w:bCs/>
        </w:rPr>
        <w:t xml:space="preserve">staging</w:t>
      </w:r>
      <w:r>
        <w:t xml:space="preserve"> e </w:t>
      </w:r>
      <w:r>
        <w:rPr>
          <w:b/>
          <w:bCs/>
        </w:rPr>
        <w:t xml:space="preserve">produzione</w:t>
      </w:r>
      <w:r>
        <w:t xml:space="preserve">, entrambi in 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esegue test → build dell'immagine Docker →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Sul server servono: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HTTPS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credenziali in un gestore di segreti, mai nel repo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database non esposto su Internet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backup automatici cifrati, con </w:t>
      </w:r>
      <w:r>
        <w:rPr>
          <w:b/>
          <w:bCs/>
        </w:rPr>
        <w:t xml:space="preserve">prove di ripristino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log centralizzati e alert</w:t>
      </w:r>
    </w:p>
    <w:p>
      <w:pPr>
        <w:pStyle w:val="Heading2"/>
        <w:keepNext/>
        <w:keepLines/>
      </w:pPr>
      <w:r>
        <w:t xml:space="preserve">Fase 5: consegna al cliente</w:t>
      </w:r>
    </w:p>
    <w:p>
      <w:pPr>
        <w:spacing w:after="120"/>
      </w:pPr>
      <w:r>
        <w:t xml:space="preserve">Materiale da consegnare: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repository, trasferito o copiato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README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runbook (installazione, backup, ripristino, aggiornamenti)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documentazione dell'architettura e del modello dati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l'elenco delle variabili d'ambiente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</w:t>
      </w:r>
      <w:r>
        <w:rPr>
          <w:b/>
          <w:bCs/>
        </w:rPr>
        <w:t xml:space="preserve">SBOM</w:t>
      </w:r>
      <w:r>
        <w:t xml:space="preserve"> (elenco delle dipendenze) con le relative licenze</w:t>
      </w:r>
    </w:p>
    <w:p>
      <w:pPr>
        <w:pStyle w:val="Heading3"/>
        <w:keepNext/>
        <w:keepLines/>
      </w:pPr>
      <w:r>
        <w:t xml:space="preserve">Aspetto contrattuale decisivo per il white label</w:t>
      </w:r>
    </w:p>
    <w:p>
      <w:pPr>
        <w:spacing w:after="120"/>
      </w:pPr>
      <w:r>
        <w:t xml:space="preserve">Se si cede al cliente A la </w:t>
      </w:r>
      <w:r>
        <w:rPr>
          <w:b/>
          <w:bCs/>
        </w:rPr>
        <w:t xml:space="preserve">proprietà</w:t>
      </w:r>
      <w:r>
        <w:t xml:space="preserve"> di tutto il codice, non lo si può riusare per il cliente B. La soluzione tipica: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sviluppatore resta titolare del </w:t>
      </w:r>
      <w:r>
        <w:rPr>
          <w:b/>
          <w:bCs/>
        </w:rPr>
        <w:t xml:space="preserve">core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cliente riceve una </w:t>
      </w:r>
      <w:r>
        <w:rPr>
          <w:b/>
          <w:bCs/>
        </w:rPr>
        <w:t xml:space="preserve">licenza perpetua e irrevocabile</w:t>
      </w:r>
      <w:r>
        <w:t xml:space="preserve">, anche di modifica;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cliente si cede la proprietà solo delle personalizzazioni fatte per lui.</w:t>
      </w:r>
    </w:p>
    <w:p>
      <w:pPr>
        <w:spacing w:after="120" w:before="120"/>
      </w:pPr>
      <w:r>
        <w:t xml:space="preserve">Il contratto va scritto con un legale.</w:t>
      </w:r>
    </w:p>
    <w:p>
      <w:pPr>
        <w:pStyle w:val="Heading1"/>
        <w:keepNext/>
        <w:keepLines/>
      </w:pPr>
      <w:r>
        <w:t xml:space="preserve">3. Come renderlo white label</w:t>
      </w:r>
    </w:p>
    <w:p>
      <w:pPr>
        <w:spacing w:after="120"/>
      </w:pPr>
      <w:r>
        <w:rPr>
          <w:b/>
          <w:bCs/>
        </w:rPr>
        <w:t xml:space="preserve">Regola d'oro:</w:t>
      </w:r>
      <w:r>
        <w:t xml:space="preserve"> il core è identico per tutti i clienti. Le differenze stanno solo nella configurazione.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Configurazione per cliente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clients/&lt;cliente&gt;/config</w:t>
      </w:r>
      <w:r>
        <w:t xml:space="preserve"> o tabella nel database). Contiene: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nome, logo e colori (come variabili CSS)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dominio e lingue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testi legali (privacy, cookie)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moduli attivi (feature flag)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tempi di conservazione dei dati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funzioni AI attive o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Un'istanza e un database per cliente</w:t>
      </w:r>
      <w:r>
        <w:t xml:space="preserve"> (single-tenant). È la scelta consigliata: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dati isolati, quindi GDPR e NIS2 più semplici da gestire;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consegna immediata;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il cliente può ospitarla da sé.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Conviene comunque prevedere un </w:t>
      </w:r>
      <w:r>
        <w:rPr>
          <w:rFonts w:ascii="Consolas" w:cs="Consolas" w:eastAsia="Consolas" w:hAnsi="Consolas"/>
          <w:sz w:val="20"/>
          <w:szCs w:val="20"/>
        </w:rPr>
        <w:t xml:space="preserve">tenant_id</w:t>
      </w:r>
      <w:r>
        <w:t xml:space="preserve"> nelle tabelle fin dall'inizio. Costa poco e lascia aperta la strada di un'offerta SaaS multi-cliente con la Row-Level Security di Postgres.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Architettura a moduli per le funzioni future.</w:t>
      </w:r>
      <w:r>
        <w:t xml:space="preserve"> Ogni funzione vive in </w:t>
      </w:r>
      <w:r>
        <w:rPr>
          <w:rFonts w:ascii="Consolas" w:cs="Consolas" w:eastAsia="Consolas" w:hAnsi="Consolas"/>
          <w:sz w:val="20"/>
          <w:szCs w:val="20"/>
        </w:rPr>
        <w:t xml:space="preserve">modules/&lt;nome&gt;</w:t>
      </w:r>
      <w:r>
        <w:t xml:space="preserve"> con le sue pagine, tabelle, permessi e voce di menu. Si attiva con un flag. Le integrazioni esterne passano da API REST documentate (OpenAPI) e da webhook.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Versioni.</w:t>
      </w:r>
      <w:r>
        <w:t xml:space="preserve"> Il core ha un numero di versione (semver), ogni cliente è fissato su una versione e le patch si propagano a tutti.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Controllo in CI.</w:t>
      </w:r>
      <w:r>
        <w:t xml:space="preserve"> Un controllo automatico blocca il merge se nel core compare il nome di un cliente.</w:t>
      </w:r>
    </w:p>
    <w:p>
      <w:pPr>
        <w:pStyle w:val="Heading1"/>
        <w:keepNext/>
        <w:keepLines/>
      </w:pPr>
      <w:r>
        <w:t xml:space="preserve">4. Conformità by design</w:t>
      </w:r>
    </w:p>
    <w:p>
      <w:pPr>
        <w:pStyle w:val="Heading2"/>
        <w:keepNext/>
        <w:keepLines/>
      </w:pPr>
      <w:r>
        <w:t xml:space="preserve">4.1 GDPR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Come implementarlo nel codice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Minimizzazione (art. 5)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i campi necessari, ognuno con lo scopo documentato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by default (art. 25)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Ruoli con i permessi minimi, visibilità ristretta di default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Diritti degli interessati (artt. 15-22)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Funzioni di export, rettifica e cancellazione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Conservazione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Scadenza per ogni categoria di dato, con cancellazione automatica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Sicurezza (art. 32)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TLS, cifratura del database, cifratura dei campi sensibili, pseudonimizzazione, password con argon2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Accountability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di chi ha visto o modificato cosa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Cookie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cookie tecnici (niente banner), analytics self-hosted e anonimizzati, font ospitati sul proprio server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breach (art. 33)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e procedura per notificare il Garante entro 72 ore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Sul piano contrattuale il cliente è il </w:t>
      </w:r>
      <w:r>
        <w:rPr>
          <w:b/>
          <w:bCs/>
        </w:rPr>
        <w:t xml:space="preserve">titolare del trattamento</w:t>
      </w:r>
      <w:r>
        <w:t xml:space="preserve">. Chi ospita o manutiene la piattaforma è il </w:t>
      </w:r>
      <w:r>
        <w:rPr>
          <w:b/>
          <w:bCs/>
        </w:rPr>
        <w:t xml:space="preserve">responsabile</w:t>
      </w:r>
      <w:r>
        <w:t xml:space="preserve">: servono la nomina ex art. 28 (DPA) e l'elenco dei sub-responsabili (hosting, email, eventuale provider AI). Se i dati sono sanitari, su larga scala o di monitoraggio, il cliente deve fare una </w:t>
      </w:r>
      <w:r>
        <w:rPr>
          <w:b/>
          <w:bCs/>
        </w:rPr>
        <w:t xml:space="preserve">DPIA</w:t>
      </w:r>
      <w:r>
        <w:t xml:space="preserve">.</w:t>
      </w:r>
    </w:p>
    <w:p>
      <w:pPr>
        <w:pStyle w:val="Heading2"/>
        <w:keepNext/>
        <w:keepLines/>
      </w:pPr>
      <w:r>
        <w:t xml:space="preserve">4.2 NIS2 (in Italia D.Lgs. 138/2024)</w:t>
      </w:r>
    </w:p>
    <w:p>
      <w:pPr>
        <w:spacing w:after="120"/>
      </w:pPr>
      <w:r>
        <w:t xml:space="preserve">Lo sviluppatore probabilmente non è soggetto direttamente: dipende da settore e dimensioni. I clienti però potrebbero esserlo. In quel caso lo sviluppatore è un loro </w:t>
      </w:r>
      <w:r>
        <w:rPr>
          <w:b/>
          <w:bCs/>
        </w:rPr>
        <w:t xml:space="preserve">fornitore nella catena di approvvigionamento</w:t>
      </w:r>
      <w:r>
        <w:t xml:space="preserve"> (art. 21) e gli verranno chieste garanzie. Conviene prevederle da subito: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MFA obbligatoria, permessi per ruolo, gestione delle sessioni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sviluppo sicuro: code review, analisi statica (SAST), Dependabot, scansione dei segreti, SBOM generato in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e monitoraggio, backup cifrati, piano di disaster recovery con tempi definiti (RPO/RTO)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gestione delle vulnerabilità e delle patch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adatti alle notifiche al CSIRT (preallarme entro 24 ore, notifica entro 72 ore, relazione finale entro 1 mese)</w:t>
      </w:r>
    </w:p>
    <w:p>
      <w:pPr>
        <w:pStyle w:val="Heading3"/>
        <w:keepNext/>
        <w:keepLines/>
      </w:pPr>
      <w:r>
        <w:t xml:space="preserve">Cyber Resilience Act</w:t>
      </w:r>
    </w:p>
    <w:p>
      <w:pPr>
        <w:spacing w:after="120"/>
      </w:pPr>
      <w:r>
        <w:t xml:space="preserve">Dall'11 settembre 2026 è obbligatorio segnalare le vulnerabilità sfruttate e gli incidenti gravi per i prodotti digitali sul mercato UE. Gli obblighi completi partono a dicembre 2027. Se il software è sviluppato su misura per un solo cliente probabilmente il CRA non si applica. Un prodotto white label venduto a più clienti invece assomiglia di più a un "prodotto sul mercato", quindi va fatto valutare a un legale.</w:t>
      </w:r>
    </w:p>
    <w:p>
      <w:pPr>
        <w:pStyle w:val="Heading2"/>
        <w:keepNext/>
        <w:keepLines/>
      </w:pPr>
      <w:r>
        <w:t xml:space="preserve">4.3 AI Act</w:t>
      </w:r>
    </w:p>
    <w:p>
      <w:pPr>
        <w:spacing w:after="120"/>
      </w:pPr>
      <w:r>
        <w:t xml:space="preserve">Si applica solo se si integrano funzioni AI, per esempio analisi dei dati con un LLM, un chatbot o previsioni. Si consiglia di tenere l'AI come </w:t>
      </w:r>
      <w:r>
        <w:rPr>
          <w:b/>
          <w:bCs/>
        </w:rPr>
        <w:t xml:space="preserve">modulo opzionale</w:t>
      </w:r>
      <w:r>
        <w:t xml:space="preserve">, attivabile per singolo cliente.</w:t>
      </w:r>
    </w:p>
    <w:p>
      <w:pPr>
        <w:pStyle w:val="Heading3"/>
        <w:keepNext/>
        <w:keepLines/>
      </w:pPr>
      <w:r>
        <w:t xml:space="preserve">Scadenze aggiornate</w:t>
      </w:r>
    </w:p>
    <w:p>
      <w:pPr>
        <w:spacing w:after="120"/>
      </w:pPr>
      <w:r>
        <w:t xml:space="preserve">Il Digital Omnibus (Reg. UE 2026/1744) è in vigore dal 27 luglio 2026: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divieti valgono dal 2 febbraio 2025;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</w:t>
      </w:r>
      <w:r>
        <w:rPr>
          <w:b/>
          <w:bCs/>
        </w:rPr>
        <w:t xml:space="preserve">obblighi di trasparenza (art. 50)</w:t>
      </w:r>
      <w:r>
        <w:t xml:space="preserve"> valgono dal 2 agosto 2026: va detto all'utente che sta parlando con un'AI e i contenuti generati vanno marcati;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 obblighi per i sistemi </w:t>
      </w:r>
      <w:r>
        <w:rPr>
          <w:b/>
          <w:bCs/>
        </w:rPr>
        <w:t xml:space="preserve">ad alto rischio</w:t>
      </w:r>
      <w:r>
        <w:t xml:space="preserve"> (Allegato III) slittano al 2 dicembre 2027.</w:t>
      </w:r>
    </w:p>
    <w:p>
      <w:pPr>
        <w:pStyle w:val="Heading3"/>
        <w:keepNext/>
        <w:keepLines/>
      </w:pPr>
      <w:r>
        <w:t xml:space="preserve">Quando diventa alto rischio</w:t>
      </w:r>
    </w:p>
    <w:p>
      <w:pPr>
        <w:spacing w:after="120"/>
      </w:pPr>
      <w:r>
        <w:t xml:space="preserve">Una piattaforma di raccolta e visualizzazione dati di solito non lo è. Lo diventa se viene usata per selezione del personale, valutazione del credito, istruzione o accesso a servizi essenziali.</w:t>
      </w:r>
    </w:p>
    <w:p>
      <w:pPr>
        <w:pStyle w:val="Heading3"/>
        <w:keepNext/>
        <w:keepLines/>
      </w:pPr>
      <w:r>
        <w:t xml:space="preserve">Misure nel codice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risposte AI sono etichettate come tali;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l'AI propone e una persona decide (niente decisioni automatiche con effetti giuridici, art. 22 GDPR);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richieste e risposte vengono registrate;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dati vengono pseudonimizzati prima di inviarli al modello;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un DPA con il provider AI, scegliendo dove possibile le opzioni di residenza dati UE e di non conservazione.</w:t>
      </w:r>
    </w:p>
    <w:p>
      <w:pPr>
        <w:spacing w:after="120" w:before="120"/>
      </w:pPr>
      <w:r>
        <w:t xml:space="preserve">In Italia c'è anche la </w:t>
      </w:r>
      <w:r>
        <w:rPr>
          <w:b/>
          <w:bCs/>
        </w:rPr>
        <w:t xml:space="preserve">Legge 132/2025</w:t>
      </w:r>
      <w:r>
        <w:t xml:space="preserve"> sull'AI, in vigore dal 10 ottobre 2025.</w:t>
      </w:r>
    </w:p>
    <w:p>
      <w:pPr>
        <w:pStyle w:val="Heading1"/>
        <w:keepNext/>
        <w:keepLines/>
      </w:pPr>
      <w:r>
        <w:t xml:space="preserve">5. Prossimi passi</w:t>
      </w:r>
    </w:p>
    <w:p>
      <w:pPr>
        <w:spacing w:after="120"/>
      </w:pPr>
      <w:r>
        <w:t xml:space="preserve">Prima di avviare lo sviluppo vanno chiarite tre scelte, che determinano architettura e obblighi: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Che dati raccoglie</w:t>
      </w:r>
      <w:r>
        <w:t xml:space="preserve"> la piattaforma? Ci sono dati personali o particolari, come quelli sanitari?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Chi ospita</w:t>
      </w:r>
      <w:r>
        <w:t xml:space="preserve"> la piattaforma in produzione: lo sviluppatore (come servizio gestito) o ogni cliente sul proprio server?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Sono previste </w:t>
      </w:r>
      <w:r>
        <w:rPr>
          <w:b/>
          <w:bCs/>
        </w:rPr>
        <w:t xml:space="preserve">funzioni AI</w:t>
      </w:r>
      <w:r>
        <w:t xml:space="preserve">, e di che tipo?</w:t>
      </w:r>
    </w:p>
    <w:p>
      <w:pPr>
        <w:spacing w:after="120" w:before="120"/>
      </w:pPr>
      <w:r>
        <w:t xml:space="preserve">Con queste risposte si possono preparare </w:t>
      </w:r>
      <w:r>
        <w:rPr>
          <w:rFonts w:ascii="Consolas" w:cs="Consolas" w:eastAsia="Consolas" w:hAnsi="Consolas"/>
          <w:sz w:val="20"/>
          <w:szCs w:val="20"/>
        </w:rPr>
        <w:t xml:space="preserve">docs/requisiti.md</w:t>
      </w:r>
      <w:r>
        <w:t xml:space="preserve">, il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t xml:space="preserve"> con le regole di architettura, white label e compliance, e lo scheletro del core (Next.js, PostgreSQL e Docker) in un repository dedicato.</w:t>
      </w:r>
    </w:p>
    <w:p>
      <w:pPr>
        <w:pStyle w:val="Heading1"/>
        <w:keepNext/>
        <w:keepLines/>
      </w:pPr>
      <w:r>
        <w:t xml:space="preserve">Fonti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9pmdgzpydzjvomtknxyva">
        <w:r>
          <w:rPr>
            <w:rStyle w:val="Hyperlink"/>
          </w:rPr>
          <w:t xml:space="preserve">Digital Omnibus on AI – artificialintelligenceact.eu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dskvfpsehwv33ef_tsck">
        <w:r>
          <w:rPr>
            <w:rStyle w:val="Hyperlink"/>
          </w:rPr>
          <w:t xml:space="preserve">AI Act Digital Omnibus: high-risk deadlines postponed – Commissione UE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tvo29l3dbdoyvftpxwla">
        <w:r>
          <w:rPr>
            <w:rStyle w:val="Hyperlink"/>
          </w:rPr>
          <w:t xml:space="preserve">Digital Omnibus Adopted: AI Act High-Risk Delayed to 2027 – aiacto.eu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mxesddmuarxhwu9sdyd_">
        <w:r>
          <w:rPr>
            <w:rStyle w:val="Hyperlink"/>
          </w:rPr>
          <w:t xml:space="preserve">CSA Research Note: EU AI Act High-Risk Deadline Pushed to December 2027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ez7s0z-khrlmdy_sblwf">
        <w:r>
          <w:rPr>
            <w:rStyle w:val="Hyperlink"/>
          </w:rPr>
          <w:t xml:space="preserve">EU Cyber Resilience Act – new reporting obligations in force (Penningtons)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mjalung9ozv1njhojt_j">
        <w:r>
          <w:rPr>
            <w:rStyle w:val="Hyperlink"/>
          </w:rPr>
          <w:t xml:space="preserve">CRA: a practical guide after the Commission's clarifications (noze)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a3pf2lv6vkezro1zib7q">
        <w:r>
          <w:rPr>
            <w:rStyle w:val="Hyperlink"/>
          </w:rPr>
          <w:t xml:space="preserve">The EU Cyber Resilience Act recap: reporting obligations (Matheson)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i3nnky5ib7ywqbb1ro07">
        <w:r>
          <w:rPr>
            <w:rStyle w:val="Hyperlink"/>
          </w:rPr>
          <w:t xml:space="preserve">Claude Code – documentazione di installazione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  <w:lvl w:ilvl="2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spuhjh43zocigd3yua8x" Type="http://schemas.openxmlformats.org/officeDocument/2006/relationships/hyperlink" Target="https://code.claude.com/docs/en/setup" TargetMode="External"/><Relationship Id="rId9pmdgzpydzjvomtknxyva" Type="http://schemas.openxmlformats.org/officeDocument/2006/relationships/hyperlink" Target="https://artificialintelligenceact.eu/ai-act-explorer/digital-omnibus/" TargetMode="External"/><Relationship Id="rIdtdskvfpsehwv33ef_tsck" Type="http://schemas.openxmlformats.org/officeDocument/2006/relationships/hyperlink" Target="https://transition-pathways.europa.eu/adv-man/legislation/ai-act-digital-omnibus-high-risk-deadlines-postponed-machinery-carved-out" TargetMode="External"/><Relationship Id="rIdttvo29l3dbdoyvftpxwla" Type="http://schemas.openxmlformats.org/officeDocument/2006/relationships/hyperlink" Target="https://www.aiacto.eu/en/blog/digital-omnibus-ai-act-report-2027" TargetMode="External"/><Relationship Id="rIdlmxesddmuarxhwu9sdyd_" Type="http://schemas.openxmlformats.org/officeDocument/2006/relationships/hyperlink" Target="https://labs.cloudsecurityalliance.org/research/csa-research-note-eu-ai-act-omnibus-vii-deadline-delay-20260/" TargetMode="External"/><Relationship Id="rIdbez7s0z-khrlmdy_sblwf" Type="http://schemas.openxmlformats.org/officeDocument/2006/relationships/hyperlink" Target="https://www.penningtonslaw.com/insights/eu-cyber-resilience-act-new-reporting-obligations-in-force/" TargetMode="External"/><Relationship Id="rIdgmjalung9ozv1njhojt_j" Type="http://schemas.openxmlformats.org/officeDocument/2006/relationships/hyperlink" Target="https://www.noze.it/en/insights/cra-commission-guidance/" TargetMode="External"/><Relationship Id="rIdsa3pf2lv6vkezro1zib7q" Type="http://schemas.openxmlformats.org/officeDocument/2006/relationships/hyperlink" Target="https://www.matheson.com/insights/the-eu-cyber-resilience-act-recap-reporting-obligations/" TargetMode="External"/><Relationship Id="rIdmi3nnky5ib7ywqbb1ro07" Type="http://schemas.openxmlformats.org/officeDocument/2006/relationships/hyperlink" Target="https://code.claude.com/docs/en/setup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Piattaforma dati white label con Claude Code</dc:title>
  <dc:creator>Claude Code</dc:creator>
  <cp:lastModifiedBy>Un-named</cp:lastModifiedBy>
  <cp:revision>1</cp:revision>
  <dcterms:created xsi:type="dcterms:W3CDTF">2026-10-21T15:29:10.568Z</dcterms:created>
  <dcterms:modified xsi:type="dcterms:W3CDTF">2026-10-21T15:29:10.569Z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