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13B5F" w14:textId="04700D1A" w:rsidR="00431D60" w:rsidRDefault="00FD6B22" w:rsidP="00FD6B22">
      <w:pPr>
        <w:pStyle w:val="Title"/>
      </w:pPr>
      <w:r>
        <w:rPr>
          <w:noProof/>
        </w:rPr>
        <w:drawing>
          <wp:anchor distT="0" distB="0" distL="114300" distR="114300" simplePos="0" relativeHeight="251658240" behindDoc="0" locked="0" layoutInCell="1" allowOverlap="1" wp14:anchorId="27DAE9F8" wp14:editId="5540E61F">
            <wp:simplePos x="0" y="0"/>
            <wp:positionH relativeFrom="column">
              <wp:posOffset>-95250</wp:posOffset>
            </wp:positionH>
            <wp:positionV relativeFrom="page">
              <wp:posOffset>1924050</wp:posOffset>
            </wp:positionV>
            <wp:extent cx="6153785" cy="7404735"/>
            <wp:effectExtent l="0" t="0" r="0" b="0"/>
            <wp:wrapNone/>
            <wp:docPr id="2334229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t>Basic Primer of VEX</w:t>
      </w:r>
      <w:r w:rsidR="00F1741A">
        <w:t>CODE</w:t>
      </w:r>
      <w:r>
        <w:t>: C++</w:t>
      </w:r>
    </w:p>
    <w:p w14:paraId="7F31F8FF" w14:textId="77777777" w:rsidR="00431D60" w:rsidRDefault="00431D60">
      <w:pPr>
        <w:rPr>
          <w:rFonts w:asciiTheme="majorHAnsi" w:eastAsiaTheme="majorEastAsia" w:hAnsiTheme="majorHAnsi" w:cstheme="majorBidi"/>
          <w:color w:val="0A1D30" w:themeColor="text2" w:themeShade="BF"/>
          <w:spacing w:val="5"/>
          <w:sz w:val="52"/>
          <w:szCs w:val="52"/>
        </w:rPr>
      </w:pPr>
      <w:r>
        <w:br w:type="page"/>
      </w:r>
    </w:p>
    <w:p w14:paraId="73563BFC" w14:textId="2326CCD5" w:rsidR="00431D60" w:rsidRDefault="00034102" w:rsidP="00F1741A">
      <w:pPr>
        <w:pStyle w:val="Title"/>
      </w:pPr>
      <w:r>
        <w:rPr>
          <w:noProof/>
        </w:rPr>
        <w:lastRenderedPageBreak/>
        <w:drawing>
          <wp:anchor distT="0" distB="0" distL="114300" distR="114300" simplePos="0" relativeHeight="251659264" behindDoc="0" locked="0" layoutInCell="1" allowOverlap="1" wp14:anchorId="57782C93" wp14:editId="79BAF353">
            <wp:simplePos x="0" y="0"/>
            <wp:positionH relativeFrom="margin">
              <wp:align>right</wp:align>
            </wp:positionH>
            <wp:positionV relativeFrom="page">
              <wp:posOffset>1571625</wp:posOffset>
            </wp:positionV>
            <wp:extent cx="1720215" cy="936625"/>
            <wp:effectExtent l="0" t="0" r="0" b="0"/>
            <wp:wrapSquare wrapText="bothSides"/>
            <wp:docPr id="134065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80273" b="86667"/>
                    <a:stretch/>
                  </pic:blipFill>
                  <pic:spPr bwMode="auto">
                    <a:xfrm>
                      <a:off x="0" y="0"/>
                      <a:ext cx="1720215" cy="93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42C">
        <w:t>Setting Up General Configuration</w:t>
      </w:r>
    </w:p>
    <w:p w14:paraId="3B904E5A" w14:textId="33AE4426" w:rsidR="009E047D" w:rsidRDefault="009A69EC" w:rsidP="00F1741A">
      <w:r>
        <w:t xml:space="preserve">To first set up the </w:t>
      </w:r>
      <w:r w:rsidR="003B68CF">
        <w:t>motors, drivetrain and other</w:t>
      </w:r>
      <w:r w:rsidR="00F95B84">
        <w:t xml:space="preserve"> </w:t>
      </w:r>
      <w:r w:rsidR="003B68CF">
        <w:t xml:space="preserve">objects, </w:t>
      </w:r>
      <w:r w:rsidR="00BD60A8">
        <w:t>you must click the button highlighted in red. It will permit you to assign port</w:t>
      </w:r>
      <w:r w:rsidR="000073EB">
        <w:t xml:space="preserve">s to the various motors and </w:t>
      </w:r>
      <w:r w:rsidR="00C3693E">
        <w:t xml:space="preserve">sensors connected to your brain. </w:t>
      </w:r>
      <w:r w:rsidR="00CE76E2">
        <w:t xml:space="preserve">After clicking on it should show a </w:t>
      </w:r>
      <w:r w:rsidR="00F553E6">
        <w:t xml:space="preserve">tab with a </w:t>
      </w:r>
      <w:r w:rsidR="009E047D">
        <w:t>plus sign and “Add a device”.</w:t>
      </w:r>
    </w:p>
    <w:p w14:paraId="2A1AAF29" w14:textId="77777777" w:rsidR="009E047D" w:rsidRDefault="009E047D" w:rsidP="00F1741A">
      <w:pPr>
        <w:sectPr w:rsidR="009E047D" w:rsidSect="00436F0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33B3ACF8" w14:textId="05217DD2" w:rsidR="00543C47" w:rsidRDefault="00BE0009" w:rsidP="00F1741A">
      <w:r w:rsidRPr="00BE0009">
        <w:rPr>
          <w:noProof/>
        </w:rPr>
        <w:drawing>
          <wp:anchor distT="0" distB="0" distL="114300" distR="114300" simplePos="0" relativeHeight="251661312" behindDoc="0" locked="0" layoutInCell="1" allowOverlap="1" wp14:anchorId="118BCF5F" wp14:editId="5BEE05F3">
            <wp:simplePos x="0" y="0"/>
            <wp:positionH relativeFrom="margin">
              <wp:align>left</wp:align>
            </wp:positionH>
            <wp:positionV relativeFrom="paragraph">
              <wp:posOffset>2079625</wp:posOffset>
            </wp:positionV>
            <wp:extent cx="2654300" cy="2769235"/>
            <wp:effectExtent l="0" t="0" r="0" b="0"/>
            <wp:wrapSquare wrapText="bothSides"/>
            <wp:docPr id="1967613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13031"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654300" cy="2769235"/>
                    </a:xfrm>
                    <a:prstGeom prst="rect">
                      <a:avLst/>
                    </a:prstGeom>
                  </pic:spPr>
                </pic:pic>
              </a:graphicData>
            </a:graphic>
            <wp14:sizeRelH relativeFrom="margin">
              <wp14:pctWidth>0</wp14:pctWidth>
            </wp14:sizeRelH>
            <wp14:sizeRelV relativeFrom="margin">
              <wp14:pctHeight>0</wp14:pctHeight>
            </wp14:sizeRelV>
          </wp:anchor>
        </w:drawing>
      </w:r>
      <w:r w:rsidR="00543C47" w:rsidRPr="00543C47">
        <w:rPr>
          <w:noProof/>
        </w:rPr>
        <w:drawing>
          <wp:anchor distT="0" distB="0" distL="114300" distR="114300" simplePos="0" relativeHeight="251660288" behindDoc="0" locked="0" layoutInCell="1" allowOverlap="1" wp14:anchorId="081085CE" wp14:editId="3DEFC84D">
            <wp:simplePos x="0" y="0"/>
            <wp:positionH relativeFrom="margin">
              <wp:posOffset>4171950</wp:posOffset>
            </wp:positionH>
            <wp:positionV relativeFrom="paragraph">
              <wp:posOffset>69850</wp:posOffset>
            </wp:positionV>
            <wp:extent cx="1790065" cy="1858010"/>
            <wp:effectExtent l="0" t="0" r="635" b="8890"/>
            <wp:wrapSquare wrapText="bothSides"/>
            <wp:docPr id="156647441" name="Picture 1" descr="A screenshot of a video gam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7441" name="Picture 1" descr="A screenshot of a video game controller"/>
                    <pic:cNvPicPr/>
                  </pic:nvPicPr>
                  <pic:blipFill rotWithShape="1">
                    <a:blip r:embed="rId20" cstate="print">
                      <a:extLst>
                        <a:ext uri="{28A0092B-C50C-407E-A947-70E740481C1C}">
                          <a14:useLocalDpi xmlns:a14="http://schemas.microsoft.com/office/drawing/2010/main" val="0"/>
                        </a:ext>
                      </a:extLst>
                    </a:blip>
                    <a:srcRect t="15445"/>
                    <a:stretch/>
                  </pic:blipFill>
                  <pic:spPr bwMode="auto">
                    <a:xfrm>
                      <a:off x="0" y="0"/>
                      <a:ext cx="1790065" cy="1858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B9B">
        <w:t xml:space="preserve">Click on </w:t>
      </w:r>
      <w:r w:rsidR="00507E49">
        <w:t>the said</w:t>
      </w:r>
      <w:r w:rsidR="00931B9B">
        <w:t xml:space="preserve"> </w:t>
      </w:r>
      <w:r w:rsidR="00ED7A58">
        <w:t xml:space="preserve">button and </w:t>
      </w:r>
      <w:r w:rsidR="007742C7">
        <w:t>then click controller leading to this screen</w:t>
      </w:r>
      <w:r w:rsidR="00543C47">
        <w:t>:</w:t>
      </w:r>
      <w:r w:rsidR="000F73E6">
        <w:t xml:space="preserve"> </w:t>
      </w:r>
      <w:r w:rsidR="00B46603">
        <w:t xml:space="preserve">Now click done and select add a device </w:t>
      </w:r>
      <w:r w:rsidR="008F33C8">
        <w:t>again but</w:t>
      </w:r>
      <w:r w:rsidR="00B46603">
        <w:t xml:space="preserve"> select drivetrain this time with </w:t>
      </w:r>
      <w:r w:rsidR="00C60C40">
        <w:t xml:space="preserve">the correct quantity of </w:t>
      </w:r>
      <w:r w:rsidR="00806A4D">
        <w:t xml:space="preserve">motors, if it is greater than 4, reference Appendix A: </w:t>
      </w:r>
      <w:r w:rsidR="009F3A81">
        <w:t>Exception</w:t>
      </w:r>
      <w:r w:rsidR="00806A4D">
        <w:t xml:space="preserve"> 1</w:t>
      </w:r>
      <w:r w:rsidR="008F33C8">
        <w:t xml:space="preserve">. From here select the left motor ports starting with 1, then going in order of </w:t>
      </w:r>
      <w:r w:rsidR="00D45C36">
        <w:t>free odd ports (This is a convention, not a requirement). On</w:t>
      </w:r>
      <w:r w:rsidR="000602EB">
        <w:t>c</w:t>
      </w:r>
      <w:r w:rsidR="00D45C36">
        <w:t>e you have selected</w:t>
      </w:r>
      <w:r w:rsidR="000602EB">
        <w:t xml:space="preserve"> the left motors, proceed to selecting the right motor ports, just with even numbers this time. In the case that </w:t>
      </w:r>
      <w:r w:rsidR="00A042A1">
        <w:t xml:space="preserve">you have an </w:t>
      </w:r>
      <w:r w:rsidR="007252B0">
        <w:t>inertial sensor, click inertial sensor and select that port. This then takes you to the following configuration page</w:t>
      </w:r>
      <w:r w:rsidR="00F46BE2">
        <w:t xml:space="preserve"> which is shown below. </w:t>
      </w:r>
      <w:r w:rsidR="007252BE">
        <w:t>If you are using blue motor cartridges, then select the 6:1 ratio</w:t>
      </w:r>
      <w:r w:rsidR="00904ED5">
        <w:t>. If</w:t>
      </w:r>
      <w:r w:rsidR="007252BE">
        <w:t xml:space="preserve"> you are using green motor cartridges</w:t>
      </w:r>
      <w:r w:rsidR="005E1F7A">
        <w:t xml:space="preserve"> then do not change your choice, and if you are </w:t>
      </w:r>
      <w:r w:rsidR="006D5DE1">
        <w:t xml:space="preserve">using red motor cartridges select 36:1. </w:t>
      </w:r>
      <w:r w:rsidR="009153D5">
        <w:t xml:space="preserve">Then you select wheel size, and </w:t>
      </w:r>
      <w:r w:rsidR="009D2F18">
        <w:t xml:space="preserve">input gear ratio via inputting the starting gear, for example a 36 tooth, </w:t>
      </w:r>
      <w:r w:rsidR="00904ED5">
        <w:t xml:space="preserve">then the secondary </w:t>
      </w:r>
      <w:r w:rsidR="00BF6DA2">
        <w:t xml:space="preserve">gear, for example </w:t>
      </w:r>
      <w:r w:rsidR="004D3870">
        <w:t>an</w:t>
      </w:r>
      <w:r w:rsidR="00BF6DA2">
        <w:t xml:space="preserve"> </w:t>
      </w:r>
      <w:r w:rsidR="004D3870">
        <w:t>84-tooth</w:t>
      </w:r>
      <w:r w:rsidR="00BF6DA2">
        <w:t xml:space="preserve"> gear. </w:t>
      </w:r>
      <w:r w:rsidR="00167B3A">
        <w:t xml:space="preserve">Additionally, if the drivetrain is completely reversed, click the down </w:t>
      </w:r>
      <w:r w:rsidR="004D3870">
        <w:t>arrow centered on the drivetrain</w:t>
      </w:r>
      <w:r w:rsidR="008F68E4">
        <w:t>. Finally, click done at the bottom left of the configuration window. You may now</w:t>
      </w:r>
      <w:r w:rsidR="0043074B">
        <w:t xml:space="preserve"> reopen the Controller tab and </w:t>
      </w:r>
      <w:r w:rsidR="009F3A81">
        <w:t xml:space="preserve">click on the joysticks until the correct configuration appears. </w:t>
      </w:r>
      <w:r w:rsidR="00AD4B37">
        <w:t>The diagram does a rather good job of explaining the possibilities, so I will leave that to it</w:t>
      </w:r>
      <w:r w:rsidR="009D0ADE">
        <w:t>.</w:t>
      </w:r>
      <w:r w:rsidR="000B4205">
        <w:t xml:space="preserve"> </w:t>
      </w:r>
    </w:p>
    <w:p w14:paraId="0C9C0FD6" w14:textId="475CC0A3" w:rsidR="000B4205" w:rsidRDefault="000B4205" w:rsidP="00F1741A">
      <w:r>
        <w:t xml:space="preserve">Next, to add motors you will select add a device yet again and </w:t>
      </w:r>
      <w:r w:rsidR="006B4788">
        <w:t xml:space="preserve">then select, motor, a port, then a cartridge as previously referenced. Repeat this motor creation process unless you have a set of motors that you wish to have work as one. In that case select </w:t>
      </w:r>
      <w:r w:rsidR="004F5D67">
        <w:t>the option: motor group</w:t>
      </w:r>
      <w:r w:rsidR="006B4788">
        <w:t>.</w:t>
      </w:r>
      <w:r w:rsidR="004F5D67">
        <w:t xml:space="preserve"> For all sensors, simply follow these steps; Click add a device, select the addon to the bot, click the port, and look at the final config page for additional instructions such as swapping direction. Finally for three-wire devices complete the first step for </w:t>
      </w:r>
      <w:r w:rsidR="007D0BD5">
        <w:t>sensors but</w:t>
      </w:r>
      <w:r w:rsidR="004F5D67">
        <w:t xml:space="preserve"> select three-wire</w:t>
      </w:r>
      <w:r w:rsidR="007D0BD5">
        <w:t>; then select the device you are planning to use and assign a letter port (the slot ports found on one of the shorter sides of the brain. For pneumatics controller</w:t>
      </w:r>
      <w:r w:rsidR="00B241DF">
        <w:t>s</w:t>
      </w:r>
      <w:r w:rsidR="007D0BD5">
        <w:t xml:space="preserve">, </w:t>
      </w:r>
      <w:r w:rsidR="00B241DF">
        <w:t>use a digital out.</w:t>
      </w:r>
    </w:p>
    <w:p w14:paraId="2F50B2F3" w14:textId="0291C372" w:rsidR="00F1741A" w:rsidRDefault="0002603E" w:rsidP="0002603E">
      <w:pPr>
        <w:pStyle w:val="Title"/>
      </w:pPr>
      <w:r>
        <w:lastRenderedPageBreak/>
        <w:t>User control</w:t>
      </w:r>
    </w:p>
    <w:p w14:paraId="5F946EEE" w14:textId="1BD8D048" w:rsidR="0002603E" w:rsidRDefault="00CC2355" w:rsidP="0002603E">
      <w:r w:rsidRPr="00CC2355">
        <w:rPr>
          <w:noProof/>
        </w:rPr>
        <w:drawing>
          <wp:anchor distT="0" distB="0" distL="114300" distR="114300" simplePos="0" relativeHeight="251662336" behindDoc="1" locked="0" layoutInCell="1" allowOverlap="1" wp14:anchorId="142A2423" wp14:editId="5DA50551">
            <wp:simplePos x="0" y="0"/>
            <wp:positionH relativeFrom="margin">
              <wp:align>left</wp:align>
            </wp:positionH>
            <wp:positionV relativeFrom="paragraph">
              <wp:posOffset>1209675</wp:posOffset>
            </wp:positionV>
            <wp:extent cx="3848100" cy="2886075"/>
            <wp:effectExtent l="0" t="0" r="0" b="9525"/>
            <wp:wrapTight wrapText="bothSides">
              <wp:wrapPolygon edited="0">
                <wp:start x="0" y="0"/>
                <wp:lineTo x="0" y="21529"/>
                <wp:lineTo x="21493" y="21529"/>
                <wp:lineTo x="21493" y="0"/>
                <wp:lineTo x="0" y="0"/>
              </wp:wrapPolygon>
            </wp:wrapTight>
            <wp:docPr id="13970401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40175" name="Picture 1" descr="A screen 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848100" cy="2886075"/>
                    </a:xfrm>
                    <a:prstGeom prst="rect">
                      <a:avLst/>
                    </a:prstGeom>
                  </pic:spPr>
                </pic:pic>
              </a:graphicData>
            </a:graphic>
            <wp14:sizeRelH relativeFrom="page">
              <wp14:pctWidth>0</wp14:pctWidth>
            </wp14:sizeRelH>
            <wp14:sizeRelV relativeFrom="page">
              <wp14:pctHeight>0</wp14:pctHeight>
            </wp14:sizeRelV>
          </wp:anchor>
        </w:drawing>
      </w:r>
      <w:r w:rsidR="0086742B">
        <w:t>To begin user control programming, you must first navigate to the competition template line 70, the line that states “void usercontrol(void) {“. From here go to the next line and here you can write the lines of code that you only want to operate once at the start of usercontrol such as velocity settings for motors or the drivetrain. Below this</w:t>
      </w:r>
      <w:r>
        <w:t xml:space="preserve">, inside of the while loop, you will put pieces of code you wish to run constantly, such as buttons to control parts of your robot. You </w:t>
      </w:r>
      <w:r w:rsidR="0019584D">
        <w:t>would</w:t>
      </w:r>
      <w:r>
        <w:t xml:space="preserve"> do this via if statements as shown below. </w:t>
      </w:r>
      <w:r w:rsidR="0019584D">
        <w:t xml:space="preserve">Don’t be concerned about the specifics of what is inside of the if clauses, just focus on what it entails. This screenshot details an if clause that checks for various states of controller buttons to check what to do with a motor called Arm. An if clause starts with the word if, then a state to check such as a controller button being pressed or not. The brackets afterwards are what will be executed if that state is true. If you wish a state check to only happen if something else has not happened, add an else if below the brackets of the if clause. </w:t>
      </w:r>
      <w:r w:rsidR="000423EF">
        <w:t xml:space="preserve">This will only be checked if the above if clause is not true. A reason that you may wish to control a motor through a single if grouping is that you likely don’t want to have a motor being sent both forward and reverse commands at the same time (the last command given is given priority). The else if clause will act similar to an if clause. Just with the additional stipulation shown about. Finally, the else clause states that if neither the if </w:t>
      </w:r>
      <w:r w:rsidR="006F1D9A">
        <w:t>n</w:t>
      </w:r>
      <w:r w:rsidR="000423EF">
        <w:t>or possibly multiple else if</w:t>
      </w:r>
      <w:r w:rsidR="006F1D9A">
        <w:t>s are false, then this will happen. This is best for stopping a motor if neither command buttons are being pressed as shown above.</w:t>
      </w:r>
    </w:p>
    <w:p w14:paraId="0F03C625" w14:textId="66C4DB6B" w:rsidR="006F1D9A" w:rsidRDefault="006F1D9A" w:rsidP="006F1D9A">
      <w:pPr>
        <w:pStyle w:val="Title"/>
      </w:pPr>
      <w:r>
        <w:t>Command Functions</w:t>
      </w:r>
    </w:p>
    <w:p w14:paraId="6E1969E8" w14:textId="68D1AE7A" w:rsidR="008F5DDA" w:rsidRDefault="008F5DDA" w:rsidP="008F5DDA">
      <w:r>
        <w:t>The</w:t>
      </w:r>
      <w:r w:rsidR="003652EC">
        <w:t>re are a variety of command functions using the inbuilt classes of the vex library. These classes are used to create motors, so far, the program has created them for you, but you still need to know how to use them. Below are all the useful functions with descriptions and an example line.</w:t>
      </w:r>
    </w:p>
    <w:p w14:paraId="2C7F0987" w14:textId="43ED41DA" w:rsidR="003652EC" w:rsidRDefault="003652EC" w:rsidP="008F5DDA">
      <w:r>
        <w:t xml:space="preserve">Drivetrain: </w:t>
      </w:r>
    </w:p>
    <w:p w14:paraId="36AF2691" w14:textId="6DD32EC9" w:rsidR="003652EC" w:rsidRDefault="003652EC" w:rsidP="008F5DDA">
      <w:r>
        <w:lastRenderedPageBreak/>
        <w:t>These commands can also be used with a smartdrive. A drivetrain is what the</w:t>
      </w:r>
      <w:r w:rsidR="002D5AA6">
        <w:t xml:space="preserve"> drivetrain that you created earlier is you didn’t add an inertial sensor.</w:t>
      </w:r>
    </w:p>
    <w:p w14:paraId="7EAE4FD6" w14:textId="119F96DD" w:rsidR="003652EC" w:rsidRDefault="003652EC" w:rsidP="008F5DDA">
      <w:r>
        <w:t>Drivetrain.drive(enum);</w:t>
      </w:r>
    </w:p>
    <w:p w14:paraId="5A38D980" w14:textId="78AEEAD1" w:rsidR="003652EC" w:rsidRDefault="003652EC" w:rsidP="008F5DDA">
      <w:r>
        <w:t>Causes the drivetrain to drive in a given direction for as long as it isn’t interrupted. The acceptable inputs (things to put where enum currently is) are forward, fwd, and reverse.</w:t>
      </w:r>
    </w:p>
    <w:p w14:paraId="0875077B" w14:textId="1957F538" w:rsidR="003652EC" w:rsidRDefault="003652EC" w:rsidP="008F5DDA">
      <w:r>
        <w:t>Drivetrain.driveFor(</w:t>
      </w:r>
      <w:r w:rsidR="002D5AA6">
        <w:t xml:space="preserve">direction, </w:t>
      </w:r>
      <w:r>
        <w:t>distance, distanceUnit);</w:t>
      </w:r>
    </w:p>
    <w:p w14:paraId="750BC1A4" w14:textId="788A9653" w:rsidR="003652EC" w:rsidRDefault="003652EC" w:rsidP="008F5DDA">
      <w:r>
        <w:t xml:space="preserve">Causes the drivetrain to drive in a given direction for a certain distance. It works by first inputting </w:t>
      </w:r>
      <w:r w:rsidR="002D5AA6">
        <w:t xml:space="preserve">direction, such as forward or reverse; then </w:t>
      </w:r>
      <w:r>
        <w:t>number such as 10</w:t>
      </w:r>
      <w:r w:rsidR="002D5AA6">
        <w:t xml:space="preserve"> where distance currently is, and a distance unit where distanceUnit is such as inches or millimeters(mm). It also has additional functions detailed in Appendix: Details 1 &amp; 2.</w:t>
      </w:r>
    </w:p>
    <w:p w14:paraId="4C346BFA" w14:textId="745853C7" w:rsidR="002D5AA6" w:rsidRDefault="002D5AA6" w:rsidP="008F5DDA">
      <w:r>
        <w:t>Drivetrain.turn(direction);</w:t>
      </w:r>
    </w:p>
    <w:p w14:paraId="4FED7525" w14:textId="6F4BF466" w:rsidR="002D5AA6" w:rsidRDefault="002D5AA6" w:rsidP="008F5DDA">
      <w:r>
        <w:t>Causes the drivetrain to turn in a certain direction until stopped. That direction can be right or left. It also has additional functions detailed in Appendix: Details 1.</w:t>
      </w:r>
    </w:p>
    <w:p w14:paraId="2608B09C" w14:textId="357605D4" w:rsidR="002D5AA6" w:rsidRDefault="002D5AA6" w:rsidP="008F5DDA">
      <w:r>
        <w:t>Drivetrain.turnFor(direction, amount, rotationUnit);</w:t>
      </w:r>
    </w:p>
    <w:p w14:paraId="72B97920" w14:textId="7812513D" w:rsidR="00AE3A2E" w:rsidRDefault="00AE3A2E" w:rsidP="008F5DDA">
      <w:r>
        <w:t>Causes the drivetrain to turn in a direction, by an amount in the ro</w:t>
      </w:r>
      <w:r w:rsidR="00F81829">
        <w:t xml:space="preserve">tational unit of your choosing. Direction can be Forward, Reverse, or fwd. Amount can be a number with decimals or no decimals, and rotationUnit can be degrees or rev(revolutions). </w:t>
      </w:r>
      <w:r w:rsidR="00F81829">
        <w:t>It also has additional functions detailed in Appendix: Details 1.</w:t>
      </w:r>
    </w:p>
    <w:p w14:paraId="46E609AF" w14:textId="446E8708" w:rsidR="00F81829" w:rsidRDefault="00F81829" w:rsidP="008F5DDA">
      <w:r>
        <w:t>Drivetrain.stop(brakeType);</w:t>
      </w:r>
    </w:p>
    <w:p w14:paraId="515E2839" w14:textId="510BD3BD" w:rsidR="00CB3C57" w:rsidRDefault="00CB3C57" w:rsidP="008F5DDA">
      <w:r>
        <w:t xml:space="preserve">This command causes the drivetrain to stop </w:t>
      </w:r>
      <w:r w:rsidR="00280AB7">
        <w:t xml:space="preserve">with a certain type. In the brakeType slot, </w:t>
      </w:r>
      <w:r w:rsidR="005513B7">
        <w:t xml:space="preserve">you can put coast which just stops power to the drivetrain, brake which </w:t>
      </w:r>
      <w:r w:rsidR="009720B7">
        <w:t>stops the motor, then has it coast, and finally hold which just stops the motor and keeps it stopped.</w:t>
      </w:r>
    </w:p>
    <w:p w14:paraId="624D48E8" w14:textId="254DD300" w:rsidR="009720B7" w:rsidRDefault="009720B7" w:rsidP="008F5DDA">
      <w:r>
        <w:t>Drivetrain.isSpinning()</w:t>
      </w:r>
    </w:p>
    <w:p w14:paraId="782ABD41" w14:textId="2C53EC2E" w:rsidR="00F81829" w:rsidRDefault="009720B7" w:rsidP="008F5DDA">
      <w:r>
        <w:t>Drivetrain.</w:t>
      </w:r>
      <w:r w:rsidR="002126B1">
        <w:t>isDone()</w:t>
      </w:r>
    </w:p>
    <w:p w14:paraId="37181F98" w14:textId="55964162" w:rsidR="002126B1" w:rsidRDefault="002126B1" w:rsidP="008F5DDA">
      <w:r>
        <w:t>These commands will output either true or false based on if a Drivetrain motor is spinning or the Drivetrain is still attempting to do something.</w:t>
      </w:r>
    </w:p>
    <w:p w14:paraId="7D7EE231" w14:textId="6EA18A39" w:rsidR="002126B1" w:rsidRDefault="002126B1" w:rsidP="008F5DDA">
      <w:r>
        <w:t>Drivetrain.setDriveVelocity(amount, velocityUnits);</w:t>
      </w:r>
    </w:p>
    <w:p w14:paraId="37F75242" w14:textId="14E4065C" w:rsidR="002126B1" w:rsidRDefault="002126B1" w:rsidP="008F5DDA">
      <w:r>
        <w:t>Drivetrain.setTurnVelocity(amount, velocityUnits);</w:t>
      </w:r>
    </w:p>
    <w:p w14:paraId="1E47ED3A" w14:textId="76A6D1F2" w:rsidR="002126B1" w:rsidRDefault="002126B1" w:rsidP="008F5DDA">
      <w:r>
        <w:t>These two commands modify drive and turn speeds respectively.</w:t>
      </w:r>
      <w:r w:rsidR="00BD7501">
        <w:t xml:space="preserve"> </w:t>
      </w:r>
      <w:r w:rsidR="00A90AC6">
        <w:t xml:space="preserve">You may want to do this due to autonomous inconsistency at higher speeds. The amount can be any number, but in effect, you </w:t>
      </w:r>
      <w:r w:rsidR="00A90AC6">
        <w:lastRenderedPageBreak/>
        <w:t xml:space="preserve">cannot tell a motor to go faster than it standardly can. The velocity units can either by percent (0-100 for amount) and </w:t>
      </w:r>
      <w:r w:rsidR="00A33E39">
        <w:t>rpm (0-600 depending on the motors used).</w:t>
      </w:r>
    </w:p>
    <w:p w14:paraId="096D9F12" w14:textId="77777777" w:rsidR="00A33E39" w:rsidRDefault="00A33E39" w:rsidP="008F5DDA"/>
    <w:p w14:paraId="54076A7A" w14:textId="77777777" w:rsidR="00A33E39" w:rsidRDefault="00A33E39" w:rsidP="008F5DDA"/>
    <w:p w14:paraId="13C39D73" w14:textId="77777777" w:rsidR="00F81829" w:rsidRDefault="00F81829" w:rsidP="008F5DDA"/>
    <w:p w14:paraId="426560EA" w14:textId="77777777" w:rsidR="002D5AA6" w:rsidRPr="003652EC" w:rsidRDefault="002D5AA6" w:rsidP="008F5DDA"/>
    <w:sectPr w:rsidR="002D5AA6" w:rsidRPr="003652EC" w:rsidSect="009E047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D88E4" w14:textId="77777777" w:rsidR="006005CB" w:rsidRDefault="006005CB" w:rsidP="00FD6B22">
      <w:pPr>
        <w:spacing w:after="0" w:line="240" w:lineRule="auto"/>
      </w:pPr>
      <w:r>
        <w:separator/>
      </w:r>
    </w:p>
  </w:endnote>
  <w:endnote w:type="continuationSeparator" w:id="0">
    <w:p w14:paraId="446441EA" w14:textId="77777777" w:rsidR="006005CB" w:rsidRDefault="006005CB" w:rsidP="00FD6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4FC7C" w14:textId="77777777" w:rsidR="00FD6B22" w:rsidRDefault="00FD6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68801" w14:textId="77777777" w:rsidR="00FD6B22" w:rsidRDefault="00FD6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E03D8" w14:textId="77777777" w:rsidR="00FD6B22" w:rsidRDefault="00FD6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23ACE" w14:textId="77777777" w:rsidR="006005CB" w:rsidRDefault="006005CB" w:rsidP="00FD6B22">
      <w:pPr>
        <w:spacing w:after="0" w:line="240" w:lineRule="auto"/>
      </w:pPr>
      <w:r>
        <w:separator/>
      </w:r>
    </w:p>
  </w:footnote>
  <w:footnote w:type="continuationSeparator" w:id="0">
    <w:p w14:paraId="0749C35A" w14:textId="77777777" w:rsidR="006005CB" w:rsidRDefault="006005CB" w:rsidP="00FD6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710F7" w14:textId="77777777" w:rsidR="00FD6B22" w:rsidRDefault="00FD6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AC4C8" w14:textId="77777777" w:rsidR="00FD6B22" w:rsidRDefault="00FD6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6CA63" w14:textId="77777777" w:rsidR="00FD6B22" w:rsidRDefault="00FD6B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E"/>
    <w:rsid w:val="000073EB"/>
    <w:rsid w:val="0002603E"/>
    <w:rsid w:val="00034102"/>
    <w:rsid w:val="0004036C"/>
    <w:rsid w:val="000423EF"/>
    <w:rsid w:val="00053E4A"/>
    <w:rsid w:val="000602EB"/>
    <w:rsid w:val="00080815"/>
    <w:rsid w:val="000B4205"/>
    <w:rsid w:val="000F73E6"/>
    <w:rsid w:val="00167B3A"/>
    <w:rsid w:val="0019584D"/>
    <w:rsid w:val="002126B1"/>
    <w:rsid w:val="002559FE"/>
    <w:rsid w:val="00280AB7"/>
    <w:rsid w:val="002A6779"/>
    <w:rsid w:val="002D5AA6"/>
    <w:rsid w:val="00334051"/>
    <w:rsid w:val="00347042"/>
    <w:rsid w:val="003652EC"/>
    <w:rsid w:val="003755D7"/>
    <w:rsid w:val="003B68CF"/>
    <w:rsid w:val="003B737A"/>
    <w:rsid w:val="0043074B"/>
    <w:rsid w:val="00431D60"/>
    <w:rsid w:val="00436F09"/>
    <w:rsid w:val="00464BD9"/>
    <w:rsid w:val="004D3870"/>
    <w:rsid w:val="004F5D67"/>
    <w:rsid w:val="004F77E8"/>
    <w:rsid w:val="00507E49"/>
    <w:rsid w:val="00543C47"/>
    <w:rsid w:val="005513B7"/>
    <w:rsid w:val="00565739"/>
    <w:rsid w:val="00577CDC"/>
    <w:rsid w:val="005E1F7A"/>
    <w:rsid w:val="005E24DE"/>
    <w:rsid w:val="006005CB"/>
    <w:rsid w:val="006B4788"/>
    <w:rsid w:val="006D5DE1"/>
    <w:rsid w:val="006F1D9A"/>
    <w:rsid w:val="007108DC"/>
    <w:rsid w:val="007252B0"/>
    <w:rsid w:val="007252BE"/>
    <w:rsid w:val="00730F64"/>
    <w:rsid w:val="00753AA2"/>
    <w:rsid w:val="007742C7"/>
    <w:rsid w:val="007D0BD5"/>
    <w:rsid w:val="007F588E"/>
    <w:rsid w:val="00806A4D"/>
    <w:rsid w:val="0086742B"/>
    <w:rsid w:val="00896BB7"/>
    <w:rsid w:val="008F1319"/>
    <w:rsid w:val="008F33C8"/>
    <w:rsid w:val="008F5DDA"/>
    <w:rsid w:val="008F68E4"/>
    <w:rsid w:val="00904ED5"/>
    <w:rsid w:val="009153D5"/>
    <w:rsid w:val="00931B9B"/>
    <w:rsid w:val="009720B7"/>
    <w:rsid w:val="00981C8E"/>
    <w:rsid w:val="009A69EC"/>
    <w:rsid w:val="009D0ADE"/>
    <w:rsid w:val="009D2F18"/>
    <w:rsid w:val="009E047D"/>
    <w:rsid w:val="009F3A81"/>
    <w:rsid w:val="00A042A1"/>
    <w:rsid w:val="00A33E39"/>
    <w:rsid w:val="00A90AC6"/>
    <w:rsid w:val="00AD4B37"/>
    <w:rsid w:val="00AE3A2E"/>
    <w:rsid w:val="00B0362B"/>
    <w:rsid w:val="00B241DF"/>
    <w:rsid w:val="00B46603"/>
    <w:rsid w:val="00BD60A8"/>
    <w:rsid w:val="00BD7501"/>
    <w:rsid w:val="00BE0009"/>
    <w:rsid w:val="00BF6DA2"/>
    <w:rsid w:val="00C3693E"/>
    <w:rsid w:val="00C60C40"/>
    <w:rsid w:val="00C81383"/>
    <w:rsid w:val="00CB3C57"/>
    <w:rsid w:val="00CC2355"/>
    <w:rsid w:val="00CE76E2"/>
    <w:rsid w:val="00CE7ACE"/>
    <w:rsid w:val="00D45C36"/>
    <w:rsid w:val="00E1142C"/>
    <w:rsid w:val="00EB57E3"/>
    <w:rsid w:val="00ED7A58"/>
    <w:rsid w:val="00F1741A"/>
    <w:rsid w:val="00F46BE2"/>
    <w:rsid w:val="00F553E6"/>
    <w:rsid w:val="00F81829"/>
    <w:rsid w:val="00F91300"/>
    <w:rsid w:val="00F95B84"/>
    <w:rsid w:val="00FD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60A0"/>
  <w15:chartTrackingRefBased/>
  <w15:docId w15:val="{8206787E-3AC7-482B-AEF9-481096C0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B22"/>
  </w:style>
  <w:style w:type="paragraph" w:styleId="Heading1">
    <w:name w:val="heading 1"/>
    <w:basedOn w:val="Normal"/>
    <w:next w:val="Normal"/>
    <w:link w:val="Heading1Char"/>
    <w:uiPriority w:val="9"/>
    <w:qFormat/>
    <w:rsid w:val="00FD6B22"/>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FD6B22"/>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FD6B22"/>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D6B22"/>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D6B22"/>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D6B22"/>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D6B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B22"/>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FD6B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22"/>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FD6B22"/>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FD6B22"/>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FD6B22"/>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FD6B22"/>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FD6B22"/>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FD6B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B22"/>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FD6B2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D6B22"/>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FD6B22"/>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FD6B22"/>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FD6B22"/>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D6B22"/>
    <w:rPr>
      <w:i/>
      <w:iCs/>
      <w:color w:val="000000" w:themeColor="text1"/>
    </w:rPr>
  </w:style>
  <w:style w:type="character" w:customStyle="1" w:styleId="QuoteChar">
    <w:name w:val="Quote Char"/>
    <w:basedOn w:val="DefaultParagraphFont"/>
    <w:link w:val="Quote"/>
    <w:uiPriority w:val="29"/>
    <w:rsid w:val="00FD6B22"/>
    <w:rPr>
      <w:i/>
      <w:iCs/>
      <w:color w:val="000000" w:themeColor="text1"/>
    </w:rPr>
  </w:style>
  <w:style w:type="paragraph" w:styleId="ListParagraph">
    <w:name w:val="List Paragraph"/>
    <w:basedOn w:val="Normal"/>
    <w:uiPriority w:val="34"/>
    <w:qFormat/>
    <w:rsid w:val="00CE7ACE"/>
    <w:pPr>
      <w:ind w:left="720"/>
      <w:contextualSpacing/>
    </w:pPr>
  </w:style>
  <w:style w:type="character" w:styleId="IntenseEmphasis">
    <w:name w:val="Intense Emphasis"/>
    <w:basedOn w:val="DefaultParagraphFont"/>
    <w:uiPriority w:val="21"/>
    <w:qFormat/>
    <w:rsid w:val="00FD6B22"/>
    <w:rPr>
      <w:b/>
      <w:bCs/>
      <w:i/>
      <w:iCs/>
      <w:color w:val="156082" w:themeColor="accent1"/>
    </w:rPr>
  </w:style>
  <w:style w:type="paragraph" w:styleId="IntenseQuote">
    <w:name w:val="Intense Quote"/>
    <w:basedOn w:val="Normal"/>
    <w:next w:val="Normal"/>
    <w:link w:val="IntenseQuoteChar"/>
    <w:uiPriority w:val="30"/>
    <w:qFormat/>
    <w:rsid w:val="00FD6B22"/>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FD6B22"/>
    <w:rPr>
      <w:b/>
      <w:bCs/>
      <w:i/>
      <w:iCs/>
      <w:color w:val="156082" w:themeColor="accent1"/>
    </w:rPr>
  </w:style>
  <w:style w:type="character" w:styleId="IntenseReference">
    <w:name w:val="Intense Reference"/>
    <w:basedOn w:val="DefaultParagraphFont"/>
    <w:uiPriority w:val="32"/>
    <w:qFormat/>
    <w:rsid w:val="00FD6B22"/>
    <w:rPr>
      <w:b/>
      <w:bCs/>
      <w:smallCaps/>
      <w:color w:val="E97132" w:themeColor="accent2"/>
      <w:spacing w:val="5"/>
      <w:u w:val="single"/>
    </w:rPr>
  </w:style>
  <w:style w:type="paragraph" w:styleId="Caption">
    <w:name w:val="caption"/>
    <w:basedOn w:val="Normal"/>
    <w:next w:val="Normal"/>
    <w:uiPriority w:val="35"/>
    <w:semiHidden/>
    <w:unhideWhenUsed/>
    <w:qFormat/>
    <w:rsid w:val="00FD6B22"/>
    <w:pPr>
      <w:spacing w:line="240" w:lineRule="auto"/>
    </w:pPr>
    <w:rPr>
      <w:b/>
      <w:bCs/>
      <w:color w:val="156082" w:themeColor="accent1"/>
      <w:sz w:val="18"/>
      <w:szCs w:val="18"/>
    </w:rPr>
  </w:style>
  <w:style w:type="character" w:styleId="Strong">
    <w:name w:val="Strong"/>
    <w:basedOn w:val="DefaultParagraphFont"/>
    <w:uiPriority w:val="22"/>
    <w:qFormat/>
    <w:rsid w:val="00FD6B22"/>
    <w:rPr>
      <w:b/>
      <w:bCs/>
    </w:rPr>
  </w:style>
  <w:style w:type="character" w:styleId="Emphasis">
    <w:name w:val="Emphasis"/>
    <w:basedOn w:val="DefaultParagraphFont"/>
    <w:uiPriority w:val="20"/>
    <w:qFormat/>
    <w:rsid w:val="00FD6B22"/>
    <w:rPr>
      <w:i/>
      <w:iCs/>
    </w:rPr>
  </w:style>
  <w:style w:type="paragraph" w:styleId="NoSpacing">
    <w:name w:val="No Spacing"/>
    <w:uiPriority w:val="1"/>
    <w:qFormat/>
    <w:rsid w:val="00FD6B22"/>
    <w:pPr>
      <w:spacing w:after="0" w:line="240" w:lineRule="auto"/>
    </w:pPr>
  </w:style>
  <w:style w:type="character" w:styleId="SubtleEmphasis">
    <w:name w:val="Subtle Emphasis"/>
    <w:basedOn w:val="DefaultParagraphFont"/>
    <w:uiPriority w:val="19"/>
    <w:qFormat/>
    <w:rsid w:val="00FD6B22"/>
    <w:rPr>
      <w:i/>
      <w:iCs/>
      <w:color w:val="808080" w:themeColor="text1" w:themeTint="7F"/>
    </w:rPr>
  </w:style>
  <w:style w:type="character" w:styleId="SubtleReference">
    <w:name w:val="Subtle Reference"/>
    <w:basedOn w:val="DefaultParagraphFont"/>
    <w:uiPriority w:val="31"/>
    <w:qFormat/>
    <w:rsid w:val="00FD6B22"/>
    <w:rPr>
      <w:smallCaps/>
      <w:color w:val="E97132" w:themeColor="accent2"/>
      <w:u w:val="single"/>
    </w:rPr>
  </w:style>
  <w:style w:type="character" w:styleId="BookTitle">
    <w:name w:val="Book Title"/>
    <w:basedOn w:val="DefaultParagraphFont"/>
    <w:uiPriority w:val="33"/>
    <w:qFormat/>
    <w:rsid w:val="00FD6B22"/>
    <w:rPr>
      <w:b/>
      <w:bCs/>
      <w:smallCaps/>
      <w:spacing w:val="5"/>
    </w:rPr>
  </w:style>
  <w:style w:type="paragraph" w:styleId="TOCHeading">
    <w:name w:val="TOC Heading"/>
    <w:basedOn w:val="Heading1"/>
    <w:next w:val="Normal"/>
    <w:uiPriority w:val="39"/>
    <w:semiHidden/>
    <w:unhideWhenUsed/>
    <w:qFormat/>
    <w:rsid w:val="00FD6B22"/>
    <w:pPr>
      <w:outlineLvl w:val="9"/>
    </w:pPr>
  </w:style>
  <w:style w:type="paragraph" w:styleId="Header">
    <w:name w:val="header"/>
    <w:basedOn w:val="Normal"/>
    <w:link w:val="HeaderChar"/>
    <w:uiPriority w:val="99"/>
    <w:unhideWhenUsed/>
    <w:rsid w:val="00FD6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B22"/>
  </w:style>
  <w:style w:type="paragraph" w:styleId="Footer">
    <w:name w:val="footer"/>
    <w:basedOn w:val="Normal"/>
    <w:link w:val="FooterChar"/>
    <w:uiPriority w:val="99"/>
    <w:unhideWhenUsed/>
    <w:rsid w:val="00FD6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041799-7270-4E3E-8B40-99A05EBB9204}" type="doc">
      <dgm:prSet loTypeId="urn:microsoft.com/office/officeart/2005/8/layout/list1" loCatId="list" qsTypeId="urn:microsoft.com/office/officeart/2005/8/quickstyle/3d5" qsCatId="3D" csTypeId="urn:microsoft.com/office/officeart/2005/8/colors/accent1_2" csCatId="accent1" phldr="1"/>
      <dgm:spPr/>
      <dgm:t>
        <a:bodyPr/>
        <a:lstStyle/>
        <a:p>
          <a:endParaRPr lang="en-US"/>
        </a:p>
      </dgm:t>
    </dgm:pt>
    <dgm:pt modelId="{45ED39E7-ABB8-4452-9EA0-0C0395F6EBB9}">
      <dgm:prSet phldrT="[Text]"/>
      <dgm:spPr/>
      <dgm:t>
        <a:bodyPr/>
        <a:lstStyle/>
        <a:p>
          <a:r>
            <a:rPr lang="en-US"/>
            <a:t>User control</a:t>
          </a:r>
        </a:p>
      </dgm:t>
    </dgm:pt>
    <dgm:pt modelId="{0CB2F516-CAFE-40C3-8BCE-1CAA419D34E0}" type="parTrans" cxnId="{ACA54093-0577-4360-BEA0-0297CFB19EDE}">
      <dgm:prSet/>
      <dgm:spPr/>
      <dgm:t>
        <a:bodyPr/>
        <a:lstStyle/>
        <a:p>
          <a:endParaRPr lang="en-US"/>
        </a:p>
      </dgm:t>
    </dgm:pt>
    <dgm:pt modelId="{10B4563A-AD2D-4635-957D-AF20132A002C}" type="sibTrans" cxnId="{ACA54093-0577-4360-BEA0-0297CFB19EDE}">
      <dgm:prSet/>
      <dgm:spPr/>
      <dgm:t>
        <a:bodyPr/>
        <a:lstStyle/>
        <a:p>
          <a:endParaRPr lang="en-US"/>
        </a:p>
      </dgm:t>
    </dgm:pt>
    <dgm:pt modelId="{104C26BA-A143-4ACD-AB9E-C6714BAD7A97}">
      <dgm:prSet phldrT="[Text]"/>
      <dgm:spPr/>
      <dgm:t>
        <a:bodyPr/>
        <a:lstStyle/>
        <a:p>
          <a:r>
            <a:rPr lang="en-US"/>
            <a:t>Autonomous</a:t>
          </a:r>
        </a:p>
      </dgm:t>
    </dgm:pt>
    <dgm:pt modelId="{3374BCBC-6D5B-45EA-A88B-FAC786D24D02}" type="parTrans" cxnId="{8B2BE359-B262-4689-A8CA-DA54076AF822}">
      <dgm:prSet/>
      <dgm:spPr/>
      <dgm:t>
        <a:bodyPr/>
        <a:lstStyle/>
        <a:p>
          <a:endParaRPr lang="en-US"/>
        </a:p>
      </dgm:t>
    </dgm:pt>
    <dgm:pt modelId="{E59E35E7-2845-4C69-B24F-71F6F0C5B134}" type="sibTrans" cxnId="{8B2BE359-B262-4689-A8CA-DA54076AF822}">
      <dgm:prSet/>
      <dgm:spPr/>
      <dgm:t>
        <a:bodyPr/>
        <a:lstStyle/>
        <a:p>
          <a:endParaRPr lang="en-US"/>
        </a:p>
      </dgm:t>
    </dgm:pt>
    <dgm:pt modelId="{B28AC913-588D-429A-B322-287445B2C95B}">
      <dgm:prSet phldrT="[Text]"/>
      <dgm:spPr/>
      <dgm:t>
        <a:bodyPr/>
        <a:lstStyle/>
        <a:p>
          <a:r>
            <a:rPr lang="en-US"/>
            <a:t>Commands</a:t>
          </a:r>
        </a:p>
      </dgm:t>
    </dgm:pt>
    <dgm:pt modelId="{1F9A4400-5F1E-4E08-A603-47366343B53B}" type="parTrans" cxnId="{6C4C8BFF-E5EE-4E53-855F-BB0B13E0A275}">
      <dgm:prSet/>
      <dgm:spPr/>
    </dgm:pt>
    <dgm:pt modelId="{E5ACFDEF-FD64-4DBD-A1C0-67536C0EDA58}" type="sibTrans" cxnId="{6C4C8BFF-E5EE-4E53-855F-BB0B13E0A275}">
      <dgm:prSet/>
      <dgm:spPr/>
    </dgm:pt>
    <dgm:pt modelId="{2C689F47-86C9-42B8-A007-A85D971E55B3}" type="pres">
      <dgm:prSet presAssocID="{B5041799-7270-4E3E-8B40-99A05EBB9204}" presName="linear" presStyleCnt="0">
        <dgm:presLayoutVars>
          <dgm:dir/>
          <dgm:animLvl val="lvl"/>
          <dgm:resizeHandles val="exact"/>
        </dgm:presLayoutVars>
      </dgm:prSet>
      <dgm:spPr/>
    </dgm:pt>
    <dgm:pt modelId="{D5E9206E-1D84-4580-ABBD-9237135B83E6}" type="pres">
      <dgm:prSet presAssocID="{45ED39E7-ABB8-4452-9EA0-0C0395F6EBB9}" presName="parentLin" presStyleCnt="0"/>
      <dgm:spPr/>
    </dgm:pt>
    <dgm:pt modelId="{E9EA0CD4-EB8B-4C61-A049-B9B1263B5989}" type="pres">
      <dgm:prSet presAssocID="{45ED39E7-ABB8-4452-9EA0-0C0395F6EBB9}" presName="parentLeftMargin" presStyleLbl="node1" presStyleIdx="0" presStyleCnt="3"/>
      <dgm:spPr/>
    </dgm:pt>
    <dgm:pt modelId="{FC1925F4-1AEF-4B74-A6C6-B436650E8E69}" type="pres">
      <dgm:prSet presAssocID="{45ED39E7-ABB8-4452-9EA0-0C0395F6EBB9}" presName="parentText" presStyleLbl="node1" presStyleIdx="0" presStyleCnt="3">
        <dgm:presLayoutVars>
          <dgm:chMax val="0"/>
          <dgm:bulletEnabled val="1"/>
        </dgm:presLayoutVars>
      </dgm:prSet>
      <dgm:spPr/>
    </dgm:pt>
    <dgm:pt modelId="{E53865BF-8051-48B8-B9E1-FAD415E4DB9C}" type="pres">
      <dgm:prSet presAssocID="{45ED39E7-ABB8-4452-9EA0-0C0395F6EBB9}" presName="negativeSpace" presStyleCnt="0"/>
      <dgm:spPr/>
    </dgm:pt>
    <dgm:pt modelId="{0D624BD4-A451-4FD4-8C7F-50CFEAAE7C98}" type="pres">
      <dgm:prSet presAssocID="{45ED39E7-ABB8-4452-9EA0-0C0395F6EBB9}" presName="childText" presStyleLbl="conFgAcc1" presStyleIdx="0" presStyleCnt="3">
        <dgm:presLayoutVars>
          <dgm:bulletEnabled val="1"/>
        </dgm:presLayoutVars>
      </dgm:prSet>
      <dgm:spPr/>
    </dgm:pt>
    <dgm:pt modelId="{8FC897CE-F51A-486D-81F1-B1AD696BEEBC}" type="pres">
      <dgm:prSet presAssocID="{10B4563A-AD2D-4635-957D-AF20132A002C}" presName="spaceBetweenRectangles" presStyleCnt="0"/>
      <dgm:spPr/>
    </dgm:pt>
    <dgm:pt modelId="{405333D0-6537-430B-B2EE-28267B27CB91}" type="pres">
      <dgm:prSet presAssocID="{B28AC913-588D-429A-B322-287445B2C95B}" presName="parentLin" presStyleCnt="0"/>
      <dgm:spPr/>
    </dgm:pt>
    <dgm:pt modelId="{AD543830-1985-4266-9C66-2CBAD52B0883}" type="pres">
      <dgm:prSet presAssocID="{B28AC913-588D-429A-B322-287445B2C95B}" presName="parentLeftMargin" presStyleLbl="node1" presStyleIdx="0" presStyleCnt="3"/>
      <dgm:spPr/>
    </dgm:pt>
    <dgm:pt modelId="{336D0B77-8814-47A5-85E2-3E0E7D785A1A}" type="pres">
      <dgm:prSet presAssocID="{B28AC913-588D-429A-B322-287445B2C95B}" presName="parentText" presStyleLbl="node1" presStyleIdx="1" presStyleCnt="3">
        <dgm:presLayoutVars>
          <dgm:chMax val="0"/>
          <dgm:bulletEnabled val="1"/>
        </dgm:presLayoutVars>
      </dgm:prSet>
      <dgm:spPr/>
    </dgm:pt>
    <dgm:pt modelId="{434682E2-2AA6-4201-8716-2BEA7BFABC0F}" type="pres">
      <dgm:prSet presAssocID="{B28AC913-588D-429A-B322-287445B2C95B}" presName="negativeSpace" presStyleCnt="0"/>
      <dgm:spPr/>
    </dgm:pt>
    <dgm:pt modelId="{F0033B5C-28C6-412D-A273-CE0140CE48D2}" type="pres">
      <dgm:prSet presAssocID="{B28AC913-588D-429A-B322-287445B2C95B}" presName="childText" presStyleLbl="conFgAcc1" presStyleIdx="1" presStyleCnt="3">
        <dgm:presLayoutVars>
          <dgm:bulletEnabled val="1"/>
        </dgm:presLayoutVars>
      </dgm:prSet>
      <dgm:spPr/>
    </dgm:pt>
    <dgm:pt modelId="{4D1648E4-6708-8C4C-AF18-4D433D6F708E}" type="pres">
      <dgm:prSet presAssocID="{E5ACFDEF-FD64-4DBD-A1C0-67536C0EDA58}" presName="spaceBetweenRectangles" presStyleCnt="0"/>
      <dgm:spPr/>
    </dgm:pt>
    <dgm:pt modelId="{C10117B9-D0A9-4CDB-835D-F00C11AA2E5E}" type="pres">
      <dgm:prSet presAssocID="{104C26BA-A143-4ACD-AB9E-C6714BAD7A97}" presName="parentLin" presStyleCnt="0"/>
      <dgm:spPr/>
    </dgm:pt>
    <dgm:pt modelId="{DB5D6EB8-9987-453D-80BC-B7B348B8FE50}" type="pres">
      <dgm:prSet presAssocID="{104C26BA-A143-4ACD-AB9E-C6714BAD7A97}" presName="parentLeftMargin" presStyleLbl="node1" presStyleIdx="1" presStyleCnt="3"/>
      <dgm:spPr/>
    </dgm:pt>
    <dgm:pt modelId="{506FA35A-97D7-49E8-8B5D-EC388FBC40D9}" type="pres">
      <dgm:prSet presAssocID="{104C26BA-A143-4ACD-AB9E-C6714BAD7A97}" presName="parentText" presStyleLbl="node1" presStyleIdx="2" presStyleCnt="3">
        <dgm:presLayoutVars>
          <dgm:chMax val="0"/>
          <dgm:bulletEnabled val="1"/>
        </dgm:presLayoutVars>
      </dgm:prSet>
      <dgm:spPr/>
    </dgm:pt>
    <dgm:pt modelId="{C70B1ED0-1E32-4B2A-A7CF-7759982538AD}" type="pres">
      <dgm:prSet presAssocID="{104C26BA-A143-4ACD-AB9E-C6714BAD7A97}" presName="negativeSpace" presStyleCnt="0"/>
      <dgm:spPr/>
    </dgm:pt>
    <dgm:pt modelId="{75564455-140D-48A9-B71C-C153C2457DC8}" type="pres">
      <dgm:prSet presAssocID="{104C26BA-A143-4ACD-AB9E-C6714BAD7A97}" presName="childText" presStyleLbl="conFgAcc1" presStyleIdx="2" presStyleCnt="3">
        <dgm:presLayoutVars>
          <dgm:bulletEnabled val="1"/>
        </dgm:presLayoutVars>
      </dgm:prSet>
      <dgm:spPr/>
    </dgm:pt>
  </dgm:ptLst>
  <dgm:cxnLst>
    <dgm:cxn modelId="{7449CB1B-1F2A-664F-8058-84080563D73A}" type="presOf" srcId="{104C26BA-A143-4ACD-AB9E-C6714BAD7A97}" destId="{DB5D6EB8-9987-453D-80BC-B7B348B8FE50}" srcOrd="0" destOrd="0" presId="urn:microsoft.com/office/officeart/2005/8/layout/list1"/>
    <dgm:cxn modelId="{6A83E92D-95BB-EF49-8A97-207E7AD33E45}" type="presOf" srcId="{45ED39E7-ABB8-4452-9EA0-0C0395F6EBB9}" destId="{E9EA0CD4-EB8B-4C61-A049-B9B1263B5989}" srcOrd="0" destOrd="0" presId="urn:microsoft.com/office/officeart/2005/8/layout/list1"/>
    <dgm:cxn modelId="{8B2BE359-B262-4689-A8CA-DA54076AF822}" srcId="{B5041799-7270-4E3E-8B40-99A05EBB9204}" destId="{104C26BA-A143-4ACD-AB9E-C6714BAD7A97}" srcOrd="2" destOrd="0" parTransId="{3374BCBC-6D5B-45EA-A88B-FAC786D24D02}" sibTransId="{E59E35E7-2845-4C69-B24F-71F6F0C5B134}"/>
    <dgm:cxn modelId="{2EA20F92-D250-40E6-9283-74DEDA607409}" type="presOf" srcId="{B5041799-7270-4E3E-8B40-99A05EBB9204}" destId="{2C689F47-86C9-42B8-A007-A85D971E55B3}" srcOrd="0" destOrd="0" presId="urn:microsoft.com/office/officeart/2005/8/layout/list1"/>
    <dgm:cxn modelId="{ACA54093-0577-4360-BEA0-0297CFB19EDE}" srcId="{B5041799-7270-4E3E-8B40-99A05EBB9204}" destId="{45ED39E7-ABB8-4452-9EA0-0C0395F6EBB9}" srcOrd="0" destOrd="0" parTransId="{0CB2F516-CAFE-40C3-8BCE-1CAA419D34E0}" sibTransId="{10B4563A-AD2D-4635-957D-AF20132A002C}"/>
    <dgm:cxn modelId="{6658B495-41FF-CE4A-A9B8-59B93505DF98}" type="presOf" srcId="{104C26BA-A143-4ACD-AB9E-C6714BAD7A97}" destId="{506FA35A-97D7-49E8-8B5D-EC388FBC40D9}" srcOrd="1" destOrd="0" presId="urn:microsoft.com/office/officeart/2005/8/layout/list1"/>
    <dgm:cxn modelId="{4B7E8EA6-8EC2-F64C-9D5D-6F00E120F600}" type="presOf" srcId="{45ED39E7-ABB8-4452-9EA0-0C0395F6EBB9}" destId="{FC1925F4-1AEF-4B74-A6C6-B436650E8E69}" srcOrd="1" destOrd="0" presId="urn:microsoft.com/office/officeart/2005/8/layout/list1"/>
    <dgm:cxn modelId="{5D0FFCA6-ED6C-C144-8AEE-AB8D7BDB5F88}" type="presOf" srcId="{B28AC913-588D-429A-B322-287445B2C95B}" destId="{AD543830-1985-4266-9C66-2CBAD52B0883}" srcOrd="0" destOrd="0" presId="urn:microsoft.com/office/officeart/2005/8/layout/list1"/>
    <dgm:cxn modelId="{822741C0-2A0A-B64A-AC22-CB7BF479F18D}" type="presOf" srcId="{B28AC913-588D-429A-B322-287445B2C95B}" destId="{336D0B77-8814-47A5-85E2-3E0E7D785A1A}" srcOrd="1" destOrd="0" presId="urn:microsoft.com/office/officeart/2005/8/layout/list1"/>
    <dgm:cxn modelId="{6C4C8BFF-E5EE-4E53-855F-BB0B13E0A275}" srcId="{B5041799-7270-4E3E-8B40-99A05EBB9204}" destId="{B28AC913-588D-429A-B322-287445B2C95B}" srcOrd="1" destOrd="0" parTransId="{1F9A4400-5F1E-4E08-A603-47366343B53B}" sibTransId="{E5ACFDEF-FD64-4DBD-A1C0-67536C0EDA58}"/>
    <dgm:cxn modelId="{B8EA9414-85E6-744D-A727-8BEFD9B3D3DE}" type="presParOf" srcId="{2C689F47-86C9-42B8-A007-A85D971E55B3}" destId="{D5E9206E-1D84-4580-ABBD-9237135B83E6}" srcOrd="0" destOrd="0" presId="urn:microsoft.com/office/officeart/2005/8/layout/list1"/>
    <dgm:cxn modelId="{C354DCC2-FABC-8E49-A472-1E3E77D64C40}" type="presParOf" srcId="{D5E9206E-1D84-4580-ABBD-9237135B83E6}" destId="{E9EA0CD4-EB8B-4C61-A049-B9B1263B5989}" srcOrd="0" destOrd="0" presId="urn:microsoft.com/office/officeart/2005/8/layout/list1"/>
    <dgm:cxn modelId="{7EF50A77-0131-C04A-9EA6-7D98A59AE31A}" type="presParOf" srcId="{D5E9206E-1D84-4580-ABBD-9237135B83E6}" destId="{FC1925F4-1AEF-4B74-A6C6-B436650E8E69}" srcOrd="1" destOrd="0" presId="urn:microsoft.com/office/officeart/2005/8/layout/list1"/>
    <dgm:cxn modelId="{064BCF52-8CC8-B947-8432-B88C2D35A01F}" type="presParOf" srcId="{2C689F47-86C9-42B8-A007-A85D971E55B3}" destId="{E53865BF-8051-48B8-B9E1-FAD415E4DB9C}" srcOrd="1" destOrd="0" presId="urn:microsoft.com/office/officeart/2005/8/layout/list1"/>
    <dgm:cxn modelId="{6B909189-43A3-8644-A83C-C223B6645ADA}" type="presParOf" srcId="{2C689F47-86C9-42B8-A007-A85D971E55B3}" destId="{0D624BD4-A451-4FD4-8C7F-50CFEAAE7C98}" srcOrd="2" destOrd="0" presId="urn:microsoft.com/office/officeart/2005/8/layout/list1"/>
    <dgm:cxn modelId="{6DEED69E-A983-D547-8AE8-0D9D3CD4DE92}" type="presParOf" srcId="{2C689F47-86C9-42B8-A007-A85D971E55B3}" destId="{8FC897CE-F51A-486D-81F1-B1AD696BEEBC}" srcOrd="3" destOrd="0" presId="urn:microsoft.com/office/officeart/2005/8/layout/list1"/>
    <dgm:cxn modelId="{97E1F591-1EA0-8E40-86DF-1C05330951AC}" type="presParOf" srcId="{2C689F47-86C9-42B8-A007-A85D971E55B3}" destId="{405333D0-6537-430B-B2EE-28267B27CB91}" srcOrd="4" destOrd="0" presId="urn:microsoft.com/office/officeart/2005/8/layout/list1"/>
    <dgm:cxn modelId="{E77FC20B-9D37-0547-9E8D-C9FFFB123B3E}" type="presParOf" srcId="{405333D0-6537-430B-B2EE-28267B27CB91}" destId="{AD543830-1985-4266-9C66-2CBAD52B0883}" srcOrd="0" destOrd="0" presId="urn:microsoft.com/office/officeart/2005/8/layout/list1"/>
    <dgm:cxn modelId="{71648F9C-A526-AB4D-8BE9-77ADA790211F}" type="presParOf" srcId="{405333D0-6537-430B-B2EE-28267B27CB91}" destId="{336D0B77-8814-47A5-85E2-3E0E7D785A1A}" srcOrd="1" destOrd="0" presId="urn:microsoft.com/office/officeart/2005/8/layout/list1"/>
    <dgm:cxn modelId="{E5717ABD-447C-E640-B12F-18690C966864}" type="presParOf" srcId="{2C689F47-86C9-42B8-A007-A85D971E55B3}" destId="{434682E2-2AA6-4201-8716-2BEA7BFABC0F}" srcOrd="5" destOrd="0" presId="urn:microsoft.com/office/officeart/2005/8/layout/list1"/>
    <dgm:cxn modelId="{CF9AA5FD-8F5A-6045-BC41-0A9CBE18A0FF}" type="presParOf" srcId="{2C689F47-86C9-42B8-A007-A85D971E55B3}" destId="{F0033B5C-28C6-412D-A273-CE0140CE48D2}" srcOrd="6" destOrd="0" presId="urn:microsoft.com/office/officeart/2005/8/layout/list1"/>
    <dgm:cxn modelId="{7BFD5C4F-5A5F-BB4D-AD02-22C92A43D2CD}" type="presParOf" srcId="{2C689F47-86C9-42B8-A007-A85D971E55B3}" destId="{4D1648E4-6708-8C4C-AF18-4D433D6F708E}" srcOrd="7" destOrd="0" presId="urn:microsoft.com/office/officeart/2005/8/layout/list1"/>
    <dgm:cxn modelId="{4BCEAB8D-0960-A942-B926-0857E0752B96}" type="presParOf" srcId="{2C689F47-86C9-42B8-A007-A85D971E55B3}" destId="{C10117B9-D0A9-4CDB-835D-F00C11AA2E5E}" srcOrd="8" destOrd="0" presId="urn:microsoft.com/office/officeart/2005/8/layout/list1"/>
    <dgm:cxn modelId="{D0B6AC41-C29E-9D44-B59C-FE01C19A13C6}" type="presParOf" srcId="{C10117B9-D0A9-4CDB-835D-F00C11AA2E5E}" destId="{DB5D6EB8-9987-453D-80BC-B7B348B8FE50}" srcOrd="0" destOrd="0" presId="urn:microsoft.com/office/officeart/2005/8/layout/list1"/>
    <dgm:cxn modelId="{A1EAD600-1AD5-5449-BC96-46B14775533B}" type="presParOf" srcId="{C10117B9-D0A9-4CDB-835D-F00C11AA2E5E}" destId="{506FA35A-97D7-49E8-8B5D-EC388FBC40D9}" srcOrd="1" destOrd="0" presId="urn:microsoft.com/office/officeart/2005/8/layout/list1"/>
    <dgm:cxn modelId="{C6C8DF2B-2D45-384C-B5C8-9DDEF62732DD}" type="presParOf" srcId="{2C689F47-86C9-42B8-A007-A85D971E55B3}" destId="{C70B1ED0-1E32-4B2A-A7CF-7759982538AD}" srcOrd="9" destOrd="0" presId="urn:microsoft.com/office/officeart/2005/8/layout/list1"/>
    <dgm:cxn modelId="{249442D1-E240-AD48-A1E9-1EAAC6DF6D28}" type="presParOf" srcId="{2C689F47-86C9-42B8-A007-A85D971E55B3}" destId="{75564455-140D-48A9-B71C-C153C2457DC8}"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624BD4-A451-4FD4-8C7F-50CFEAAE7C98}">
      <dsp:nvSpPr>
        <dsp:cNvPr id="0" name=""/>
        <dsp:cNvSpPr/>
      </dsp:nvSpPr>
      <dsp:spPr>
        <a:xfrm>
          <a:off x="0" y="971047"/>
          <a:ext cx="6153785" cy="1360799"/>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z="-60000" extrusionH="63500" prstMaterial="matte"/>
      </dsp:spPr>
      <dsp:style>
        <a:lnRef idx="1">
          <a:scrgbClr r="0" g="0" b="0"/>
        </a:lnRef>
        <a:fillRef idx="1">
          <a:scrgbClr r="0" g="0" b="0"/>
        </a:fillRef>
        <a:effectRef idx="0">
          <a:scrgbClr r="0" g="0" b="0"/>
        </a:effectRef>
        <a:fontRef idx="minor"/>
      </dsp:style>
    </dsp:sp>
    <dsp:sp modelId="{FC1925F4-1AEF-4B74-A6C6-B436650E8E69}">
      <dsp:nvSpPr>
        <dsp:cNvPr id="0" name=""/>
        <dsp:cNvSpPr/>
      </dsp:nvSpPr>
      <dsp:spPr>
        <a:xfrm>
          <a:off x="307689" y="174007"/>
          <a:ext cx="4307649" cy="1594079"/>
        </a:xfrm>
        <a:prstGeom prst="round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2819" tIns="0" rIns="162819" bIns="0" numCol="1" spcCol="1270" anchor="ctr" anchorCtr="0">
          <a:noAutofit/>
        </a:bodyPr>
        <a:lstStyle/>
        <a:p>
          <a:pPr marL="0" lvl="0" indent="0" algn="l" defTabSz="2400300">
            <a:lnSpc>
              <a:spcPct val="90000"/>
            </a:lnSpc>
            <a:spcBef>
              <a:spcPct val="0"/>
            </a:spcBef>
            <a:spcAft>
              <a:spcPct val="35000"/>
            </a:spcAft>
            <a:buNone/>
          </a:pPr>
          <a:r>
            <a:rPr lang="en-US" sz="5400" kern="1200"/>
            <a:t>User control</a:t>
          </a:r>
        </a:p>
      </dsp:txBody>
      <dsp:txXfrm>
        <a:off x="385506" y="251824"/>
        <a:ext cx="4152015" cy="1438445"/>
      </dsp:txXfrm>
    </dsp:sp>
    <dsp:sp modelId="{F0033B5C-28C6-412D-A273-CE0140CE48D2}">
      <dsp:nvSpPr>
        <dsp:cNvPr id="0" name=""/>
        <dsp:cNvSpPr/>
      </dsp:nvSpPr>
      <dsp:spPr>
        <a:xfrm>
          <a:off x="0" y="3420487"/>
          <a:ext cx="6153785" cy="1360799"/>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z="-60000" extrusionH="63500" prstMaterial="matte"/>
      </dsp:spPr>
      <dsp:style>
        <a:lnRef idx="1">
          <a:scrgbClr r="0" g="0" b="0"/>
        </a:lnRef>
        <a:fillRef idx="1">
          <a:scrgbClr r="0" g="0" b="0"/>
        </a:fillRef>
        <a:effectRef idx="0">
          <a:scrgbClr r="0" g="0" b="0"/>
        </a:effectRef>
        <a:fontRef idx="minor"/>
      </dsp:style>
    </dsp:sp>
    <dsp:sp modelId="{336D0B77-8814-47A5-85E2-3E0E7D785A1A}">
      <dsp:nvSpPr>
        <dsp:cNvPr id="0" name=""/>
        <dsp:cNvSpPr/>
      </dsp:nvSpPr>
      <dsp:spPr>
        <a:xfrm>
          <a:off x="307689" y="2623447"/>
          <a:ext cx="4307649" cy="1594079"/>
        </a:xfrm>
        <a:prstGeom prst="round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2819" tIns="0" rIns="162819" bIns="0" numCol="1" spcCol="1270" anchor="ctr" anchorCtr="0">
          <a:noAutofit/>
        </a:bodyPr>
        <a:lstStyle/>
        <a:p>
          <a:pPr marL="0" lvl="0" indent="0" algn="l" defTabSz="2400300">
            <a:lnSpc>
              <a:spcPct val="90000"/>
            </a:lnSpc>
            <a:spcBef>
              <a:spcPct val="0"/>
            </a:spcBef>
            <a:spcAft>
              <a:spcPct val="35000"/>
            </a:spcAft>
            <a:buNone/>
          </a:pPr>
          <a:r>
            <a:rPr lang="en-US" sz="5400" kern="1200"/>
            <a:t>Commands</a:t>
          </a:r>
        </a:p>
      </dsp:txBody>
      <dsp:txXfrm>
        <a:off x="385506" y="2701264"/>
        <a:ext cx="4152015" cy="1438445"/>
      </dsp:txXfrm>
    </dsp:sp>
    <dsp:sp modelId="{75564455-140D-48A9-B71C-C153C2457DC8}">
      <dsp:nvSpPr>
        <dsp:cNvPr id="0" name=""/>
        <dsp:cNvSpPr/>
      </dsp:nvSpPr>
      <dsp:spPr>
        <a:xfrm>
          <a:off x="0" y="5869927"/>
          <a:ext cx="6153785" cy="1360799"/>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p3d z="-60000" extrusionH="63500" prstMaterial="matte"/>
      </dsp:spPr>
      <dsp:style>
        <a:lnRef idx="1">
          <a:scrgbClr r="0" g="0" b="0"/>
        </a:lnRef>
        <a:fillRef idx="1">
          <a:scrgbClr r="0" g="0" b="0"/>
        </a:fillRef>
        <a:effectRef idx="0">
          <a:scrgbClr r="0" g="0" b="0"/>
        </a:effectRef>
        <a:fontRef idx="minor"/>
      </dsp:style>
    </dsp:sp>
    <dsp:sp modelId="{506FA35A-97D7-49E8-8B5D-EC388FBC40D9}">
      <dsp:nvSpPr>
        <dsp:cNvPr id="0" name=""/>
        <dsp:cNvSpPr/>
      </dsp:nvSpPr>
      <dsp:spPr>
        <a:xfrm>
          <a:off x="307689" y="5072887"/>
          <a:ext cx="4307649" cy="1594079"/>
        </a:xfrm>
        <a:prstGeom prst="round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62819" tIns="0" rIns="162819" bIns="0" numCol="1" spcCol="1270" anchor="ctr" anchorCtr="0">
          <a:noAutofit/>
        </a:bodyPr>
        <a:lstStyle/>
        <a:p>
          <a:pPr marL="0" lvl="0" indent="0" algn="l" defTabSz="2400300">
            <a:lnSpc>
              <a:spcPct val="90000"/>
            </a:lnSpc>
            <a:spcBef>
              <a:spcPct val="0"/>
            </a:spcBef>
            <a:spcAft>
              <a:spcPct val="35000"/>
            </a:spcAft>
            <a:buNone/>
          </a:pPr>
          <a:r>
            <a:rPr lang="en-US" sz="5400" kern="1200"/>
            <a:t>Autonomous</a:t>
          </a:r>
        </a:p>
      </dsp:txBody>
      <dsp:txXfrm>
        <a:off x="385506" y="5150704"/>
        <a:ext cx="4152015" cy="1438445"/>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02984-D53A-4082-9FFD-EFE1CAC6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Jolley</dc:creator>
  <cp:keywords/>
  <dc:description/>
  <cp:lastModifiedBy>Mark Jolley (student HH)</cp:lastModifiedBy>
  <cp:revision>13</cp:revision>
  <dcterms:created xsi:type="dcterms:W3CDTF">2025-03-09T04:34:00Z</dcterms:created>
  <dcterms:modified xsi:type="dcterms:W3CDTF">2025-03-11T19:45:00Z</dcterms:modified>
</cp:coreProperties>
</file>