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76300"/>
                    </a:xfrm>
                    <a:prstGeom prst="rect">
                      <a:avLst/>
                    </a:prstGeom>
                  </pic:spPr>
                </pic:pic>
              </a:graphicData>
            </a:graphic>
          </wp:inline>
        </w:drawing>
      </w:r>
    </w:p>
    <w:p>
      <w:pPr>
        <w:spacing w:after="120"/>
      </w:pPr>
      <w:r>
        <w:rPr>
          <w:rFonts w:ascii="Arial" w:cs="Arial" w:eastAsia="Arial" w:hAnsi="Arial"/>
          <w:b/>
          <w:bCs/>
          <w:color w:val="0F2A47"/>
          <w:sz w:val="56"/>
          <w:szCs w:val="56"/>
        </w:rPr>
        <w:t xml:space="preserve">Proyecto FugaCliente</w:t>
      </w:r>
    </w:p>
    <w:p>
      <w:pPr>
        <w:spacing w:after="360"/>
      </w:pPr>
      <w:r>
        <w:rPr>
          <w:rFonts w:ascii="Arial" w:cs="Arial" w:eastAsia="Arial" w:hAnsi="Arial"/>
          <w:color w:val="0E8174"/>
          <w:sz w:val="30"/>
          <w:szCs w:val="30"/>
        </w:rPr>
        <w:t xml:space="preserve">Detección explicable de clientes en riesgo de irse por mal servicio</w:t>
      </w:r>
    </w:p>
    <w:p>
      <w:pPr>
        <w:pBdr>
          <w:bottom w:val="single" w:color="0E8174" w:sz="12" w:space="1"/>
        </w:pBdr>
        <w:spacing w:after="360"/>
      </w:pPr>
    </w:p>
    <w:p>
      <w:pPr>
        <w:spacing w:after="480"/>
      </w:pPr>
      <w:r>
        <w:rPr>
          <w:rFonts w:ascii="Arial" w:cs="Arial" w:eastAsia="Arial" w:hAnsi="Arial"/>
          <w:b/>
          <w:bCs/>
          <w:color w:val="0F2A47"/>
          <w:sz w:val="24"/>
          <w:szCs w:val="24"/>
        </w:rPr>
        <w:t xml:space="preserve">Evaluación Parcial de Desarrollo Web Full Stack Backend</w:t>
      </w:r>
    </w:p>
    <w:p>
      <w:pPr>
        <w:spacing w:after="80"/>
      </w:pPr>
      <w:r>
        <w:rPr>
          <w:rFonts w:ascii="Arial" w:cs="Arial" w:eastAsia="Arial" w:hAnsi="Arial"/>
          <w:b/>
          <w:bCs/>
          <w:sz w:val="22"/>
          <w:szCs w:val="22"/>
        </w:rPr>
        <w:t xml:space="preserve">Integrantes:</w:t>
      </w:r>
    </w:p>
    <w:p>
      <w:pPr>
        <w:spacing w:after="60"/>
        <w:ind w:left="240"/>
      </w:pPr>
      <w:r>
        <w:rPr>
          <w:rFonts w:ascii="Arial" w:cs="Arial" w:eastAsia="Arial" w:hAnsi="Arial"/>
          <w:color w:val="9AA5B4"/>
          <w:sz w:val="22"/>
          <w:szCs w:val="22"/>
        </w:rPr>
        <w:t xml:space="preserve">– ______________________________________</w:t>
      </w:r>
    </w:p>
    <w:p>
      <w:pPr>
        <w:spacing w:after="60"/>
        <w:ind w:left="240"/>
      </w:pPr>
      <w:r>
        <w:rPr>
          <w:rFonts w:ascii="Arial" w:cs="Arial" w:eastAsia="Arial" w:hAnsi="Arial"/>
          <w:color w:val="9AA5B4"/>
          <w:sz w:val="22"/>
          <w:szCs w:val="22"/>
        </w:rPr>
        <w:t xml:space="preserve">– ______________________________________</w:t>
      </w:r>
    </w:p>
    <w:p>
      <w:pPr>
        <w:spacing w:after="60"/>
        <w:ind w:left="240"/>
      </w:pPr>
      <w:r>
        <w:rPr>
          <w:rFonts w:ascii="Arial" w:cs="Arial" w:eastAsia="Arial" w:hAnsi="Arial"/>
          <w:color w:val="1E2A3B"/>
          <w:sz w:val="22"/>
          <w:szCs w:val="22"/>
        </w:rPr>
        <w:t xml:space="preserve">– Ramos Mendivil Pablo Antonio</w:t>
      </w:r>
    </w:p>
    <w:p>
      <w:pPr>
        <w:spacing w:after="60"/>
        <w:ind w:left="240"/>
      </w:pPr>
      <w:r>
        <w:rPr>
          <w:rFonts w:ascii="Arial" w:cs="Arial" w:eastAsia="Arial" w:hAnsi="Arial"/>
          <w:color w:val="9AA5B4"/>
          <w:sz w:val="22"/>
          <w:szCs w:val="22"/>
        </w:rPr>
        <w:t xml:space="preserve">– ______________________________________</w:t>
      </w:r>
    </w:p>
    <w:p>
      <w:pPr>
        <w:spacing w:after="240"/>
      </w:pPr>
    </w:p>
    <w:p>
      <w:pPr>
        <w:spacing w:after="80"/>
      </w:pPr>
      <w:r>
        <w:rPr>
          <w:rFonts w:ascii="Arial" w:cs="Arial" w:eastAsia="Arial" w:hAnsi="Arial"/>
          <w:b/>
          <w:bCs/>
          <w:sz w:val="22"/>
          <w:szCs w:val="22"/>
        </w:rPr>
        <w:t xml:space="preserve">Docente:</w:t>
      </w:r>
    </w:p>
    <w:p>
      <w:pPr>
        <w:spacing w:after="600"/>
        <w:ind w:left="240"/>
      </w:pPr>
      <w:r>
        <w:rPr>
          <w:rFonts w:ascii="Arial" w:cs="Arial" w:eastAsia="Arial" w:hAnsi="Arial"/>
          <w:sz w:val="22"/>
          <w:szCs w:val="22"/>
        </w:rPr>
        <w:t xml:space="preserve">Franco Valentino Atencia Cabrera</w:t>
      </w:r>
    </w:p>
    <w:p>
      <w:pPr>
        <w:spacing w:after="40"/>
      </w:pPr>
      <w:r>
        <w:rPr>
          <w:rFonts w:ascii="Arial" w:cs="Arial" w:eastAsia="Arial" w:hAnsi="Arial"/>
          <w:color w:val="5E6B7D"/>
          <w:sz w:val="22"/>
          <w:szCs w:val="22"/>
        </w:rPr>
        <w:t xml:space="preserve">Ingeniería de Software</w:t>
      </w:r>
    </w:p>
    <w:p>
      <w:pPr>
        <w:spacing w:after="40"/>
      </w:pPr>
      <w:r>
        <w:rPr>
          <w:rFonts w:ascii="Arial" w:cs="Arial" w:eastAsia="Arial" w:hAnsi="Arial"/>
          <w:color w:val="5E6B7D"/>
          <w:sz w:val="22"/>
          <w:szCs w:val="22"/>
        </w:rPr>
        <w:t xml:space="preserve">Universidad Autónoma del Perú</w:t>
      </w:r>
    </w:p>
    <w:p>
      <w:r>
        <w:rPr>
          <w:rFonts w:ascii="Arial" w:cs="Arial" w:eastAsia="Arial" w:hAnsi="Arial"/>
          <w:color w:val="5E6B7D"/>
          <w:sz w:val="22"/>
          <w:szCs w:val="22"/>
        </w:rPr>
        <w:t xml:space="preserve">Octubre de 2026</w:t>
      </w:r>
    </w:p>
    <w:p>
      <w:pPr>
        <w:sectPr>
          <w:pgSz w:w="12240" w:h="15840" w:orient="portrait"/>
          <w:pgMar w:top="1152" w:right="1152" w:bottom="1152" w:left="1152" w:header="708" w:footer="708" w:gutter="0"/>
          <w:pgNumType/>
          <w:docGrid w:linePitch="360"/>
        </w:sectPr>
      </w:pPr>
    </w:p>
    <w:p>
      <w:pPr>
        <w:pStyle w:val="Heading1"/>
      </w:pPr>
      <w:r>
        <w:rPr>
          <w:rFonts w:ascii="Arial" w:cs="Arial" w:eastAsia="Arial" w:hAnsi="Arial"/>
        </w:rPr>
        <w:t xml:space="preserve">Contenido</w:t>
      </w:r>
    </w:p>
    <w:p>
      <w:pPr>
        <w:spacing w:after="100"/>
      </w:pPr>
      <w:r>
        <w:rPr>
          <w:rFonts w:ascii="Arial" w:cs="Arial" w:eastAsia="Arial" w:hAnsi="Arial"/>
          <w:b/>
          <w:bCs/>
          <w:color w:val="0E8174"/>
        </w:rPr>
        <w:t xml:space="preserve">1    </w:t>
      </w:r>
      <w:r>
        <w:rPr>
          <w:rFonts w:ascii="Arial" w:cs="Arial" w:eastAsia="Arial" w:hAnsi="Arial"/>
        </w:rPr>
        <w:t xml:space="preserve">Propuesta del proyecto</w:t>
      </w:r>
    </w:p>
    <w:p>
      <w:pPr>
        <w:spacing w:after="100"/>
      </w:pPr>
      <w:r>
        <w:rPr>
          <w:rFonts w:ascii="Arial" w:cs="Arial" w:eastAsia="Arial" w:hAnsi="Arial"/>
          <w:b/>
          <w:bCs/>
          <w:color w:val="0E8174"/>
        </w:rPr>
        <w:t xml:space="preserve">2    </w:t>
      </w:r>
      <w:r>
        <w:rPr>
          <w:rFonts w:ascii="Arial" w:cs="Arial" w:eastAsia="Arial" w:hAnsi="Arial"/>
        </w:rPr>
        <w:t xml:space="preserve">Requerimientos del sistema</w:t>
      </w:r>
    </w:p>
    <w:p>
      <w:pPr>
        <w:spacing w:after="100"/>
      </w:pPr>
      <w:r>
        <w:rPr>
          <w:rFonts w:ascii="Arial" w:cs="Arial" w:eastAsia="Arial" w:hAnsi="Arial"/>
          <w:b/>
          <w:bCs/>
          <w:color w:val="0E8174"/>
        </w:rPr>
        <w:t xml:space="preserve">3    </w:t>
      </w:r>
      <w:r>
        <w:rPr>
          <w:rFonts w:ascii="Arial" w:cs="Arial" w:eastAsia="Arial" w:hAnsi="Arial"/>
        </w:rPr>
        <w:t xml:space="preserve">Arquitectura del servidor</w:t>
      </w:r>
    </w:p>
    <w:p>
      <w:pPr>
        <w:spacing w:after="100"/>
      </w:pPr>
      <w:r>
        <w:rPr>
          <w:rFonts w:ascii="Arial" w:cs="Arial" w:eastAsia="Arial" w:hAnsi="Arial"/>
          <w:b/>
          <w:bCs/>
          <w:color w:val="0E8174"/>
        </w:rPr>
        <w:t xml:space="preserve">4    </w:t>
      </w:r>
      <w:r>
        <w:rPr>
          <w:rFonts w:ascii="Arial" w:cs="Arial" w:eastAsia="Arial" w:hAnsi="Arial"/>
        </w:rPr>
        <w:t xml:space="preserve">Persistencia relacional en SQL Server</w:t>
      </w:r>
    </w:p>
    <w:p>
      <w:pPr>
        <w:spacing w:after="100"/>
      </w:pPr>
      <w:r>
        <w:rPr>
          <w:rFonts w:ascii="Arial" w:cs="Arial" w:eastAsia="Arial" w:hAnsi="Arial"/>
          <w:b/>
          <w:bCs/>
          <w:color w:val="0E8174"/>
        </w:rPr>
        <w:t xml:space="preserve">5    </w:t>
      </w:r>
      <w:r>
        <w:rPr>
          <w:rFonts w:ascii="Arial" w:cs="Arial" w:eastAsia="Arial" w:hAnsi="Arial"/>
        </w:rPr>
        <w:t xml:space="preserve">Persistencia documental en MongoDB</w:t>
      </w:r>
    </w:p>
    <w:p>
      <w:pPr>
        <w:spacing w:after="100"/>
      </w:pPr>
      <w:r>
        <w:rPr>
          <w:rFonts w:ascii="Arial" w:cs="Arial" w:eastAsia="Arial" w:hAnsi="Arial"/>
          <w:b/>
          <w:bCs/>
          <w:color w:val="0E8174"/>
        </w:rPr>
        <w:t xml:space="preserve">6    </w:t>
      </w:r>
      <w:r>
        <w:rPr>
          <w:rFonts w:ascii="Arial" w:cs="Arial" w:eastAsia="Arial" w:hAnsi="Arial"/>
        </w:rPr>
        <w:t xml:space="preserve">Detección explicable del riesgo</w:t>
      </w:r>
    </w:p>
    <w:p>
      <w:pPr>
        <w:spacing w:after="100"/>
      </w:pPr>
      <w:r>
        <w:rPr>
          <w:rFonts w:ascii="Arial" w:cs="Arial" w:eastAsia="Arial" w:hAnsi="Arial"/>
          <w:b/>
          <w:bCs/>
          <w:color w:val="0E8174"/>
        </w:rPr>
        <w:t xml:space="preserve">7    </w:t>
      </w:r>
      <w:r>
        <w:rPr>
          <w:rFonts w:ascii="Arial" w:cs="Arial" w:eastAsia="Arial" w:hAnsi="Arial"/>
        </w:rPr>
        <w:t xml:space="preserve">Contrato REST y control de acceso</w:t>
      </w:r>
    </w:p>
    <w:p>
      <w:pPr>
        <w:spacing w:after="100"/>
      </w:pPr>
      <w:r>
        <w:rPr>
          <w:rFonts w:ascii="Arial" w:cs="Arial" w:eastAsia="Arial" w:hAnsi="Arial"/>
          <w:b/>
          <w:bCs/>
          <w:color w:val="0E8174"/>
        </w:rPr>
        <w:t xml:space="preserve">8    </w:t>
      </w:r>
      <w:r>
        <w:rPr>
          <w:rFonts w:ascii="Arial" w:cs="Arial" w:eastAsia="Arial" w:hAnsi="Arial"/>
        </w:rPr>
        <w:t xml:space="preserve">Interfaz web</w:t>
      </w:r>
    </w:p>
    <w:p>
      <w:pPr>
        <w:spacing w:after="100"/>
      </w:pPr>
      <w:r>
        <w:rPr>
          <w:rFonts w:ascii="Arial" w:cs="Arial" w:eastAsia="Arial" w:hAnsi="Arial"/>
          <w:b/>
          <w:bCs/>
          <w:color w:val="0E8174"/>
        </w:rPr>
        <w:t xml:space="preserve">9    </w:t>
      </w:r>
      <w:r>
        <w:rPr>
          <w:rFonts w:ascii="Arial" w:cs="Arial" w:eastAsia="Arial" w:hAnsi="Arial"/>
        </w:rPr>
        <w:t xml:space="preserve">Seguridad</w:t>
      </w:r>
    </w:p>
    <w:p>
      <w:pPr>
        <w:spacing w:after="100"/>
      </w:pPr>
      <w:r>
        <w:rPr>
          <w:rFonts w:ascii="Arial" w:cs="Arial" w:eastAsia="Arial" w:hAnsi="Arial"/>
          <w:b/>
          <w:bCs/>
          <w:color w:val="0E8174"/>
        </w:rPr>
        <w:t xml:space="preserve">10    </w:t>
      </w:r>
      <w:r>
        <w:rPr>
          <w:rFonts w:ascii="Arial" w:cs="Arial" w:eastAsia="Arial" w:hAnsi="Arial"/>
        </w:rPr>
        <w:t xml:space="preserve">Instalación y demostración</w:t>
      </w:r>
    </w:p>
    <w:p>
      <w:pPr>
        <w:spacing w:after="100"/>
      </w:pPr>
      <w:r>
        <w:rPr>
          <w:rFonts w:ascii="Arial" w:cs="Arial" w:eastAsia="Arial" w:hAnsi="Arial"/>
          <w:b/>
          <w:bCs/>
          <w:color w:val="0E8174"/>
        </w:rPr>
        <w:t xml:space="preserve">11    </w:t>
      </w:r>
      <w:r>
        <w:rPr>
          <w:rFonts w:ascii="Arial" w:cs="Arial" w:eastAsia="Arial" w:hAnsi="Arial"/>
        </w:rPr>
        <w:t xml:space="preserve">Verificación y calidad</w:t>
      </w:r>
    </w:p>
    <w:p>
      <w:pPr>
        <w:spacing w:after="100"/>
      </w:pPr>
      <w:r>
        <w:rPr>
          <w:rFonts w:ascii="Arial" w:cs="Arial" w:eastAsia="Arial" w:hAnsi="Arial"/>
          <w:b/>
          <w:bCs/>
          <w:color w:val="0E8174"/>
        </w:rPr>
        <w:t xml:space="preserve">12    </w:t>
      </w:r>
      <w:r>
        <w:rPr>
          <w:rFonts w:ascii="Arial" w:cs="Arial" w:eastAsia="Arial" w:hAnsi="Arial"/>
        </w:rPr>
        <w:t xml:space="preserve">Conclusiones y mejoras futuras</w:t>
      </w:r>
    </w:p>
    <w:p>
      <w:pPr>
        <w:spacing w:after="100"/>
      </w:pPr>
      <w:r>
        <w:rPr>
          <w:rFonts w:ascii="Arial" w:cs="Arial" w:eastAsia="Arial" w:hAnsi="Arial"/>
          <w:b/>
          <w:bCs/>
          <w:color w:val="0E8174"/>
        </w:rPr>
        <w:t xml:space="preserve">13    </w:t>
      </w:r>
      <w:r>
        <w:rPr>
          <w:rFonts w:ascii="Arial" w:cs="Arial" w:eastAsia="Arial" w:hAnsi="Arial"/>
        </w:rPr>
        <w:t xml:space="preserve">Reflexión y referencias</w:t>
      </w:r>
    </w:p>
    <w:p>
      <w:pPr>
        <w:spacing w:after="24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left w:val="single" w:color="0E8174" w:sz="24"/>
              <w:bottom w:val="none"/>
              <w:right w:val="none"/>
            </w:tcBorders>
            <w:shd w:fill="E3F4F1" w:color="auto" w:val="clear"/>
            <w:tcMar>
              <w:top w:type="dxa" w:w="120"/>
              <w:left w:type="dxa" w:w="200"/>
              <w:bottom w:type="dxa" w:w="120"/>
              <w:right w:type="dxa" w:w="200"/>
            </w:tcMar>
          </w:tcPr>
          <w:p>
            <w:pPr>
              <w:spacing w:after="60"/>
            </w:pPr>
            <w:r>
              <w:rPr>
                <w:rFonts w:ascii="Arial" w:cs="Arial" w:eastAsia="Arial" w:hAnsi="Arial"/>
                <w:b/>
                <w:bCs/>
                <w:color w:val="0A5C53"/>
              </w:rPr>
              <w:t xml:space="preserve">Resumen</w:t>
            </w:r>
          </w:p>
          <w:p>
            <w:pPr>
              <w:spacing w:line="276"/>
            </w:pPr>
            <w:r>
              <w:rPr>
                <w:rFonts w:ascii="Arial" w:cs="Arial" w:eastAsia="Arial" w:hAnsi="Arial"/>
                <w:color w:val="1E2A3B"/>
              </w:rPr>
              <w:t xml:space="preserve">FugaCliente es una plataforma web que reúne las incidencias de atención de cada cliente, calcula un puntaje de riesgo de 0 a 100 que explica sus causas y coordina acciones de retención. Está construida como un API REST en capas con Express, SQL Server para los datos de negocio y MongoDB para la auditoría y los comentarios, más una interfaz web propia.</w:t>
            </w:r>
          </w:p>
        </w:tc>
      </w:tr>
    </w:tbl>
    <w:p>
      <w:pPr>
        <w:pStyle w:val="Heading1"/>
        <w:pageBreakBefore/>
      </w:pPr>
      <w:r>
        <w:rPr>
          <w:rFonts w:ascii="Arial" w:cs="Arial" w:eastAsia="Arial" w:hAnsi="Arial"/>
        </w:rPr>
        <w:t xml:space="preserve">1 Propuesta del proyecto</w:t>
      </w:r>
    </w:p>
    <w:p>
      <w:pPr>
        <w:spacing w:after="120" w:line="288"/>
      </w:pPr>
      <w:r>
        <w:rPr>
          <w:rFonts w:ascii="Arial" w:cs="Arial" w:eastAsia="Arial" w:hAnsi="Arial"/>
        </w:rPr>
        <w:t xml:space="preserve">FugaCliente organiza los reclamos de servicio de una empresa y ayuda al equipo de atención a decidir qué clientes necesitan una respuesta prioritaria. Integra un API REST construido con Express 5, SQL Server para los registros de negocio y MongoDB para los comentarios y la auditoría. Una interfaz web propia consume el API y permite demostrar el flujo completo: registrar una incidencia, entender por qué el cliente está en riesgo y asignar una acción de retención con responsable y fecha.</w:t>
      </w:r>
    </w:p>
    <w:p>
      <w:pPr>
        <w:pStyle w:val="Heading2"/>
      </w:pPr>
      <w:r>
        <w:rPr>
          <w:rFonts w:ascii="Arial" w:cs="Arial" w:eastAsia="Arial" w:hAnsi="Arial"/>
        </w:rPr>
        <w:t xml:space="preserve">Problema de negocio</w:t>
      </w:r>
    </w:p>
    <w:p>
      <w:pPr>
        <w:spacing w:after="120" w:line="288"/>
      </w:pPr>
      <w:r>
        <w:rPr>
          <w:rFonts w:ascii="Arial" w:cs="Arial" w:eastAsia="Arial" w:hAnsi="Arial"/>
        </w:rPr>
        <w:t xml:space="preserve">Cuando los reclamos se atienden de forma dispersa, la empresa pierde de vista los casos que siguen pendientes. Si las incidencias no se relacionan con el historial del cliente, es difícil reconocer experiencias repetidas de mala atención, detectar plazos vencidos y asignar a alguien que las resuelva. El cliente insatisfecho termina yéndose sin que nadie lo haya advertido a tiempo.</w:t>
      </w:r>
    </w:p>
    <w:p>
      <w:pPr>
        <w:spacing w:after="120" w:line="288"/>
      </w:pPr>
      <w:r>
        <w:rPr>
          <w:rFonts w:ascii="Arial" w:cs="Arial" w:eastAsia="Arial" w:hAnsi="Arial"/>
        </w:rPr>
        <w:t xml:space="preserve">FugaCliente reúne esa información y la convierte en un </w:t>
      </w:r>
      <w:r>
        <w:rPr>
          <w:rFonts w:ascii="Arial" w:cs="Arial" w:eastAsia="Arial" w:hAnsi="Arial"/>
          <w:b/>
          <w:bCs/>
        </w:rPr>
        <w:t xml:space="preserve">puntaje de prioridad explicable</w:t>
      </w:r>
      <w:r>
        <w:rPr>
          <w:rFonts w:ascii="Arial" w:cs="Arial" w:eastAsia="Arial" w:hAnsi="Arial"/>
        </w:rPr>
        <w:t xml:space="preserve">: cada punto tiene una causa visible (satisfacción baja, casos pendientes, reclamos repetidos, gravedad o SLA vencido), de modo que el equipo sabe no solo a quién llamar, sino por qué.</w:t>
      </w:r>
    </w:p>
    <w:p>
      <w:pPr>
        <w:pStyle w:val="Heading2"/>
      </w:pPr>
      <w:r>
        <w:rPr>
          <w:rFonts w:ascii="Arial" w:cs="Arial" w:eastAsia="Arial" w:hAnsi="Arial"/>
        </w:rPr>
        <w:t xml:space="preserve">Objetivo general</w:t>
      </w:r>
    </w:p>
    <w:p>
      <w:pPr>
        <w:spacing w:after="120" w:line="288"/>
      </w:pPr>
      <w:r>
        <w:rPr>
          <w:rFonts w:ascii="Arial" w:cs="Arial" w:eastAsia="Arial" w:hAnsi="Arial"/>
        </w:rPr>
        <w:t xml:space="preserve">Desarrollar un backend en capas que identifique señales de riesgo de fuga por mal servicio mediante reglas explicables y permita gestionar incidencias y acciones de retención con persistencia relacional (SQL Server) y documental (MongoDB).</w:t>
      </w:r>
    </w:p>
    <w:p>
      <w:pPr>
        <w:pStyle w:val="Heading2"/>
      </w:pPr>
      <w:r>
        <w:rPr>
          <w:rFonts w:ascii="Arial" w:cs="Arial" w:eastAsia="Arial" w:hAnsi="Arial"/>
        </w:rPr>
        <w:t xml:space="preserve">Objetivos específicos</w:t>
      </w:r>
    </w:p>
    <w:p>
      <w:pPr>
        <w:pStyle w:val="ListParagraph"/>
        <w:numPr>
          <w:ilvl w:val="0"/>
          <w:numId w:val="2"/>
        </w:numPr>
        <w:spacing w:after="60" w:line="276"/>
      </w:pPr>
      <w:r>
        <w:rPr>
          <w:rFonts w:ascii="Arial" w:cs="Arial" w:eastAsia="Arial" w:hAnsi="Arial"/>
        </w:rPr>
        <w:t xml:space="preserve">Gestionar usuarios, roles, clientes y servicios con relaciones e integridad referencial en SQL Server.</w:t>
      </w:r>
    </w:p>
    <w:p>
      <w:pPr>
        <w:pStyle w:val="ListParagraph"/>
        <w:numPr>
          <w:ilvl w:val="0"/>
          <w:numId w:val="2"/>
        </w:numPr>
        <w:spacing w:after="60" w:line="276"/>
      </w:pPr>
      <w:r>
        <w:rPr>
          <w:rFonts w:ascii="Arial" w:cs="Arial" w:eastAsia="Arial" w:hAnsi="Arial"/>
        </w:rPr>
        <w:t xml:space="preserve">Registrar y actualizar incidencias mediante procedimientos almacenados transaccionales con control de concurrencia.</w:t>
      </w:r>
    </w:p>
    <w:p>
      <w:pPr>
        <w:pStyle w:val="ListParagraph"/>
        <w:numPr>
          <w:ilvl w:val="0"/>
          <w:numId w:val="2"/>
        </w:numPr>
        <w:spacing w:after="60" w:line="276"/>
      </w:pPr>
      <w:r>
        <w:rPr>
          <w:rFonts w:ascii="Arial" w:cs="Arial" w:eastAsia="Arial" w:hAnsi="Arial"/>
        </w:rPr>
        <w:t xml:space="preserve">Calcular un puntaje de riesgo de 0 a 100 que muestre sus causas y oriente la atención.</w:t>
      </w:r>
    </w:p>
    <w:p>
      <w:pPr>
        <w:pStyle w:val="ListParagraph"/>
        <w:numPr>
          <w:ilvl w:val="0"/>
          <w:numId w:val="2"/>
        </w:numPr>
        <w:spacing w:after="60" w:line="276"/>
      </w:pPr>
      <w:r>
        <w:rPr>
          <w:rFonts w:ascii="Arial" w:cs="Arial" w:eastAsia="Arial" w:hAnsi="Arial"/>
        </w:rPr>
        <w:t xml:space="preserve">Conservar comentarios y eventos de auditoría como documentos BSON en MongoDB, con índices y agregaciones.</w:t>
      </w:r>
    </w:p>
    <w:p>
      <w:pPr>
        <w:pStyle w:val="ListParagraph"/>
        <w:numPr>
          <w:ilvl w:val="0"/>
          <w:numId w:val="2"/>
        </w:numPr>
        <w:spacing w:after="60" w:line="276"/>
      </w:pPr>
      <w:r>
        <w:rPr>
          <w:rFonts w:ascii="Arial" w:cs="Arial" w:eastAsia="Arial" w:hAnsi="Arial"/>
        </w:rPr>
        <w:t xml:space="preserve">Exponer un API REST de nivel 2 de Richardson, documentado con OpenAPI y probado automáticamente.</w:t>
      </w:r>
    </w:p>
    <w:p>
      <w:pPr>
        <w:pStyle w:val="Heading2"/>
      </w:pPr>
      <w:r>
        <w:rPr>
          <w:rFonts w:ascii="Arial" w:cs="Arial" w:eastAsia="Arial" w:hAnsi="Arial"/>
        </w:rPr>
        <w:t xml:space="preserve">Alcance</w:t>
      </w:r>
    </w:p>
    <w:p>
      <w:pPr>
        <w:spacing w:after="120" w:line="288"/>
      </w:pPr>
      <w:r>
        <w:rPr>
          <w:rFonts w:ascii="Arial" w:cs="Arial" w:eastAsia="Arial" w:hAnsi="Arial"/>
        </w:rPr>
        <w:t xml:space="preserve">Aplicación académica con datos ficticios. Los pesos del puntaje son reglas propuestas para priorizar la atención; </w:t>
      </w:r>
      <w:r>
        <w:rPr>
          <w:rFonts w:ascii="Arial" w:cs="Arial" w:eastAsia="Arial" w:hAnsi="Arial"/>
          <w:b/>
          <w:bCs/>
        </w:rPr>
        <w:t xml:space="preserve">no constituyen una probabilidad estadística de abandono ni un modelo de inteligencia artificial entrenado</w:t>
      </w:r>
      <w:r>
        <w:rPr>
          <w:rFonts w:ascii="Arial" w:cs="Arial" w:eastAsia="Arial" w:hAnsi="Arial"/>
        </w:rPr>
        <w:t xml:space="preserve">. No se envían correos, mensajes ni compensaciones reales.</w:t>
      </w:r>
    </w:p>
    <w:p>
      <w:pPr>
        <w:pStyle w:val="Heading1"/>
        <w:pageBreakBefore/>
      </w:pPr>
      <w:r>
        <w:rPr>
          <w:rFonts w:ascii="Arial" w:cs="Arial" w:eastAsia="Arial" w:hAnsi="Arial"/>
        </w:rPr>
        <w:t xml:space="preserve">2 Requerimientos del sistema</w:t>
      </w:r>
    </w:p>
    <w:p>
      <w:pPr>
        <w:pStyle w:val="Heading2"/>
      </w:pPr>
      <w:r>
        <w:rPr>
          <w:rFonts w:ascii="Arial" w:cs="Arial" w:eastAsia="Arial" w:hAnsi="Arial"/>
        </w:rPr>
        <w:t xml:space="preserve">Usuarios y roles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62"/>
        <w:gridCol w:w="2691"/>
        <w:gridCol w:w="5383"/>
      </w:tblGrid>
      <w:tr>
        <w:trPr>
          <w:tblHeader/>
        </w:trPr>
        <w:tc>
          <w:tcPr>
            <w:tcW w:type="dxa" w:w="1862"/>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Rol</w:t>
            </w:r>
          </w:p>
        </w:tc>
        <w:tc>
          <w:tcPr>
            <w:tcW w:type="dxa" w:w="2691"/>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Quién es</w:t>
            </w:r>
          </w:p>
        </w:tc>
        <w:tc>
          <w:tcPr>
            <w:tcW w:type="dxa" w:w="5383"/>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Qué puede hacer</w:t>
            </w:r>
          </w:p>
        </w:tc>
      </w:tr>
      <w:tr>
        <w:trPr>
          <w:cantSplit/>
        </w:trPr>
        <w:tc>
          <w:tcPr>
            <w:tcW w:type="dxa" w:w="186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Administrador</w:t>
            </w:r>
          </w:p>
        </w:tc>
        <w:tc>
          <w:tcPr>
            <w:tcW w:type="dxa" w:w="269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Responsable del sistema</w:t>
            </w:r>
          </w:p>
        </w:tc>
        <w:tc>
          <w:tcPr>
            <w:tcW w:type="dxa" w:w="5383"/>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Todas las operaciones: gestiona usuarios y servicios, archiva clientes y consulta la auditoría</w:t>
            </w:r>
          </w:p>
        </w:tc>
      </w:tr>
      <w:tr>
        <w:trPr>
          <w:cantSplit/>
        </w:trPr>
        <w:tc>
          <w:tcPr>
            <w:tcW w:type="dxa" w:w="186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Analista</w:t>
            </w:r>
          </w:p>
        </w:tc>
        <w:tc>
          <w:tcPr>
            <w:tcW w:type="dxa" w:w="269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Supervisa la calidad de atención</w:t>
            </w:r>
          </w:p>
        </w:tc>
        <w:tc>
          <w:tcPr>
            <w:tcW w:type="dxa" w:w="5383"/>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Edita clientes, consulta la auditoría y exporta reportes</w:t>
            </w:r>
          </w:p>
        </w:tc>
      </w:tr>
      <w:tr>
        <w:trPr>
          <w:cantSplit/>
        </w:trPr>
        <w:tc>
          <w:tcPr>
            <w:tcW w:type="dxa" w:w="186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Agente</w:t>
            </w:r>
          </w:p>
        </w:tc>
        <w:tc>
          <w:tcPr>
            <w:tcW w:type="dxa" w:w="269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Atiende a los clientes</w:t>
            </w:r>
          </w:p>
        </w:tc>
        <w:tc>
          <w:tcPr>
            <w:tcW w:type="dxa" w:w="5383"/>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Registra clientes, incidencias, notas y acciones, y actualiza su estado</w:t>
            </w:r>
          </w:p>
        </w:tc>
      </w:tr>
    </w:tbl>
    <w:p>
      <w:pPr>
        <w:spacing w:after="120"/>
      </w:pPr>
    </w:p>
    <w:p>
      <w:pPr>
        <w:pStyle w:val="Heading2"/>
      </w:pPr>
      <w:r>
        <w:rPr>
          <w:rFonts w:ascii="Arial" w:cs="Arial" w:eastAsia="Arial" w:hAnsi="Arial"/>
        </w:rPr>
        <w:t xml:space="preserve">Requerimientos funcionales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296"/>
        <w:gridCol w:w="8640"/>
      </w:tblGrid>
      <w:tr>
        <w:trPr>
          <w:tblHeader/>
        </w:trPr>
        <w:tc>
          <w:tcPr>
            <w:tcW w:type="dxa" w:w="1296"/>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Código</w:t>
            </w:r>
          </w:p>
        </w:tc>
        <w:tc>
          <w:tcPr>
            <w:tcW w:type="dxa" w:w="8640"/>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Requerimiento</w:t>
            </w:r>
          </w:p>
        </w:tc>
      </w:tr>
      <w:tr>
        <w:trPr>
          <w:cantSplit/>
        </w:trPr>
        <w:tc>
          <w:tcPr>
            <w:tcW w:type="dxa" w:w="129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RF01</w:t>
            </w:r>
          </w:p>
        </w:tc>
        <w:tc>
          <w:tcPr>
            <w:tcW w:type="dxa" w:w="864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Autenticar usuarios con correo y contraseña y controlar el acceso según su rol.</w:t>
            </w:r>
          </w:p>
        </w:tc>
      </w:tr>
      <w:tr>
        <w:trPr>
          <w:cantSplit/>
        </w:trPr>
        <w:tc>
          <w:tcPr>
            <w:tcW w:type="dxa" w:w="129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RF02</w:t>
            </w:r>
          </w:p>
        </w:tc>
        <w:tc>
          <w:tcPr>
            <w:tcW w:type="dxa" w:w="864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Registrar, consultar, editar y archivar clientes con su segmento y datos de contacto.</w:t>
            </w:r>
          </w:p>
        </w:tc>
      </w:tr>
      <w:tr>
        <w:trPr>
          <w:cantSplit/>
        </w:trPr>
        <w:tc>
          <w:tcPr>
            <w:tcW w:type="dxa" w:w="129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RF03</w:t>
            </w:r>
          </w:p>
        </w:tc>
        <w:tc>
          <w:tcPr>
            <w:tcW w:type="dxa" w:w="864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Registrar incidencias indicando servicio, motivo, gravedad, satisfacción y responsable.</w:t>
            </w:r>
          </w:p>
        </w:tc>
      </w:tr>
      <w:tr>
        <w:trPr>
          <w:cantSplit/>
        </w:trPr>
        <w:tc>
          <w:tcPr>
            <w:tcW w:type="dxa" w:w="129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RF04</w:t>
            </w:r>
          </w:p>
        </w:tc>
        <w:tc>
          <w:tcPr>
            <w:tcW w:type="dxa" w:w="864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Cambiar el estado de una incidencia (abierta, en proceso, resuelta) evitando que dos personas se sobrescriban.</w:t>
            </w:r>
          </w:p>
        </w:tc>
      </w:tr>
      <w:tr>
        <w:trPr>
          <w:cantSplit/>
        </w:trPr>
        <w:tc>
          <w:tcPr>
            <w:tcW w:type="dxa" w:w="129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RF05</w:t>
            </w:r>
          </w:p>
        </w:tc>
        <w:tc>
          <w:tcPr>
            <w:tcW w:type="dxa" w:w="864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Calcular el puntaje de riesgo de cada cliente y mostrar los factores que lo explican.</w:t>
            </w:r>
          </w:p>
        </w:tc>
      </w:tr>
      <w:tr>
        <w:trPr>
          <w:cantSplit/>
        </w:trPr>
        <w:tc>
          <w:tcPr>
            <w:tcW w:type="dxa" w:w="129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RF06</w:t>
            </w:r>
          </w:p>
        </w:tc>
        <w:tc>
          <w:tcPr>
            <w:tcW w:type="dxa" w:w="864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Listar alertas de clientes con riesgo medio o alto, ordenadas por prioridad.</w:t>
            </w:r>
          </w:p>
        </w:tc>
      </w:tr>
      <w:tr>
        <w:trPr>
          <w:cantSplit/>
        </w:trPr>
        <w:tc>
          <w:tcPr>
            <w:tcW w:type="dxa" w:w="129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RF07</w:t>
            </w:r>
          </w:p>
        </w:tc>
        <w:tc>
          <w:tcPr>
            <w:tcW w:type="dxa" w:w="864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Asignar acciones de retención con responsable y fecha límite, y registrar su resultado.</w:t>
            </w:r>
          </w:p>
        </w:tc>
      </w:tr>
      <w:tr>
        <w:trPr>
          <w:cantSplit/>
        </w:trPr>
        <w:tc>
          <w:tcPr>
            <w:tcW w:type="dxa" w:w="129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RF08</w:t>
            </w:r>
          </w:p>
        </w:tc>
        <w:tc>
          <w:tcPr>
            <w:tcW w:type="dxa" w:w="864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Guardar notas de seguimiento por cliente indicando el canal de contacto.</w:t>
            </w:r>
          </w:p>
        </w:tc>
      </w:tr>
      <w:tr>
        <w:trPr>
          <w:cantSplit/>
        </w:trPr>
        <w:tc>
          <w:tcPr>
            <w:tcW w:type="dxa" w:w="129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RF09</w:t>
            </w:r>
          </w:p>
        </w:tc>
        <w:tc>
          <w:tcPr>
            <w:tcW w:type="dxa" w:w="864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Mostrar un panel con indicadores, tendencia de incidencias y resultados de retención.</w:t>
            </w:r>
          </w:p>
        </w:tc>
      </w:tr>
      <w:tr>
        <w:trPr>
          <w:cantSplit/>
        </w:trPr>
        <w:tc>
          <w:tcPr>
            <w:tcW w:type="dxa" w:w="129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RF10</w:t>
            </w:r>
          </w:p>
        </w:tc>
        <w:tc>
          <w:tcPr>
            <w:tcW w:type="dxa" w:w="864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Registrar la auditoría de las operaciones y de las peticiones al API.</w:t>
            </w:r>
          </w:p>
        </w:tc>
      </w:tr>
      <w:tr>
        <w:trPr>
          <w:cantSplit/>
        </w:trPr>
        <w:tc>
          <w:tcPr>
            <w:tcW w:type="dxa" w:w="129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RF11</w:t>
            </w:r>
          </w:p>
        </w:tc>
        <w:tc>
          <w:tcPr>
            <w:tcW w:type="dxa" w:w="864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Gestionar usuarios y servicios con su plazo de atención (SLA).</w:t>
            </w:r>
          </w:p>
        </w:tc>
      </w:tr>
      <w:tr>
        <w:trPr>
          <w:cantSplit/>
        </w:trPr>
        <w:tc>
          <w:tcPr>
            <w:tcW w:type="dxa" w:w="129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RF12</w:t>
            </w:r>
          </w:p>
        </w:tc>
        <w:tc>
          <w:tcPr>
            <w:tcW w:type="dxa" w:w="864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Exportar el listado de clientes con su riesgo a un archivo CSV.</w:t>
            </w:r>
          </w:p>
        </w:tc>
      </w:tr>
    </w:tbl>
    <w:p>
      <w:pPr>
        <w:spacing w:after="120"/>
      </w:pPr>
    </w:p>
    <w:p>
      <w:pPr>
        <w:pStyle w:val="Heading2"/>
      </w:pPr>
      <w:r>
        <w:rPr>
          <w:rFonts w:ascii="Arial" w:cs="Arial" w:eastAsia="Arial" w:hAnsi="Arial"/>
        </w:rPr>
        <w:t xml:space="preserve">Requerimientos no funcionales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79"/>
        <w:gridCol w:w="2114"/>
        <w:gridCol w:w="6343"/>
      </w:tblGrid>
      <w:tr>
        <w:trPr>
          <w:tblHeader/>
        </w:trPr>
        <w:tc>
          <w:tcPr>
            <w:tcW w:type="dxa" w:w="1479"/>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Código</w:t>
            </w:r>
          </w:p>
        </w:tc>
        <w:tc>
          <w:tcPr>
            <w:tcW w:type="dxa" w:w="2114"/>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Atributo</w:t>
            </w:r>
          </w:p>
        </w:tc>
        <w:tc>
          <w:tcPr>
            <w:tcW w:type="dxa" w:w="6343"/>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Cómo se cumple</w:t>
            </w:r>
          </w:p>
        </w:tc>
      </w:tr>
      <w:tr>
        <w:trPr>
          <w:cantSplit/>
        </w:trPr>
        <w:tc>
          <w:tcPr>
            <w:tcW w:type="dxa" w:w="1479"/>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RNF01</w:t>
            </w:r>
          </w:p>
        </w:tc>
        <w:tc>
          <w:tcPr>
            <w:tcW w:type="dxa" w:w="211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Integridad</w:t>
            </w:r>
          </w:p>
        </w:tc>
        <w:tc>
          <w:tcPr>
            <w:tcW w:type="dxa" w:w="6343"/>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Claves foráneas, restricciones CHECK y procedimientos transaccionales en SQL Server</w:t>
            </w:r>
          </w:p>
        </w:tc>
      </w:tr>
      <w:tr>
        <w:trPr>
          <w:cantSplit/>
        </w:trPr>
        <w:tc>
          <w:tcPr>
            <w:tcW w:type="dxa" w:w="1479"/>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RNF02</w:t>
            </w:r>
          </w:p>
        </w:tc>
        <w:tc>
          <w:tcPr>
            <w:tcW w:type="dxa" w:w="211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Seguridad</w:t>
            </w:r>
          </w:p>
        </w:tc>
        <w:tc>
          <w:tcPr>
            <w:tcW w:type="dxa" w:w="6343"/>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Contraseñas con bcrypt, JWT, control por roles, CSP y límite de solicitudes</w:t>
            </w:r>
          </w:p>
        </w:tc>
      </w:tr>
      <w:tr>
        <w:trPr>
          <w:cantSplit/>
        </w:trPr>
        <w:tc>
          <w:tcPr>
            <w:tcW w:type="dxa" w:w="1479"/>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RNF03</w:t>
            </w:r>
          </w:p>
        </w:tc>
        <w:tc>
          <w:tcPr>
            <w:tcW w:type="dxa" w:w="211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Consistencia</w:t>
            </w:r>
          </w:p>
        </w:tc>
        <w:tc>
          <w:tcPr>
            <w:tcW w:type="dxa" w:w="6343"/>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Patrón Transactional Outbox entre SQL Server y MongoDB, sin pérdida de eventos</w:t>
            </w:r>
          </w:p>
        </w:tc>
      </w:tr>
      <w:tr>
        <w:trPr>
          <w:cantSplit/>
        </w:trPr>
        <w:tc>
          <w:tcPr>
            <w:tcW w:type="dxa" w:w="1479"/>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RNF04</w:t>
            </w:r>
          </w:p>
        </w:tc>
        <w:tc>
          <w:tcPr>
            <w:tcW w:type="dxa" w:w="211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Mantenibilidad</w:t>
            </w:r>
          </w:p>
        </w:tc>
        <w:tc>
          <w:tcPr>
            <w:tcW w:type="dxa" w:w="6343"/>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Arquitectura en capas, inyección de dependencias y código documentado</w:t>
            </w:r>
          </w:p>
        </w:tc>
      </w:tr>
      <w:tr>
        <w:trPr>
          <w:cantSplit/>
        </w:trPr>
        <w:tc>
          <w:tcPr>
            <w:tcW w:type="dxa" w:w="1479"/>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RNF05</w:t>
            </w:r>
          </w:p>
        </w:tc>
        <w:tc>
          <w:tcPr>
            <w:tcW w:type="dxa" w:w="211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Interoperabilidad</w:t>
            </w:r>
          </w:p>
        </w:tc>
        <w:tc>
          <w:tcPr>
            <w:tcW w:type="dxa" w:w="6343"/>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API REST con JSON, documentada con OpenAPI y colección de Postman</w:t>
            </w:r>
          </w:p>
        </w:tc>
      </w:tr>
      <w:tr>
        <w:trPr>
          <w:cantSplit/>
        </w:trPr>
        <w:tc>
          <w:tcPr>
            <w:tcW w:type="dxa" w:w="1479"/>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RNF06</w:t>
            </w:r>
          </w:p>
        </w:tc>
        <w:tc>
          <w:tcPr>
            <w:tcW w:type="dxa" w:w="211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Usabilidad</w:t>
            </w:r>
          </w:p>
        </w:tc>
        <w:tc>
          <w:tcPr>
            <w:tcW w:type="dxa" w:w="6343"/>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Interfaz adaptable a celular, modo claro y oscuro, mensajes en español</w:t>
            </w:r>
          </w:p>
        </w:tc>
      </w:tr>
      <w:tr>
        <w:trPr>
          <w:cantSplit/>
        </w:trPr>
        <w:tc>
          <w:tcPr>
            <w:tcW w:type="dxa" w:w="1479"/>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RNF07</w:t>
            </w:r>
          </w:p>
        </w:tc>
        <w:tc>
          <w:tcPr>
            <w:tcW w:type="dxa" w:w="211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Calidad</w:t>
            </w:r>
          </w:p>
        </w:tc>
        <w:tc>
          <w:tcPr>
            <w:tcW w:type="dxa" w:w="6343"/>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41 pruebas automáticas e integración continua</w:t>
            </w:r>
          </w:p>
        </w:tc>
      </w:tr>
      <w:tr>
        <w:trPr>
          <w:cantSplit/>
        </w:trPr>
        <w:tc>
          <w:tcPr>
            <w:tcW w:type="dxa" w:w="1479"/>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RNF08</w:t>
            </w:r>
          </w:p>
        </w:tc>
        <w:tc>
          <w:tcPr>
            <w:tcW w:type="dxa" w:w="211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Trazabilidad</w:t>
            </w:r>
          </w:p>
        </w:tc>
        <w:tc>
          <w:tcPr>
            <w:tcW w:type="dxa" w:w="6343"/>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Identificador por petición y auditoría de eventos en MongoDB</w:t>
            </w:r>
          </w:p>
        </w:tc>
      </w:tr>
    </w:tbl>
    <w:p>
      <w:pPr>
        <w:spacing w:after="120"/>
      </w:pPr>
    </w:p>
    <w:p>
      <w:pPr>
        <w:pStyle w:val="Heading2"/>
      </w:pPr>
      <w:r>
        <w:rPr>
          <w:rFonts w:ascii="Arial" w:cs="Arial" w:eastAsia="Arial" w:hAnsi="Arial"/>
        </w:rPr>
        <w:t xml:space="preserve">Tecnologías utilizadas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161"/>
        <w:gridCol w:w="6775"/>
      </w:tblGrid>
      <w:tr>
        <w:trPr>
          <w:tblHeader/>
        </w:trPr>
        <w:tc>
          <w:tcPr>
            <w:tcW w:type="dxa" w:w="3161"/>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Componente</w:t>
            </w:r>
          </w:p>
        </w:tc>
        <w:tc>
          <w:tcPr>
            <w:tcW w:type="dxa" w:w="6775"/>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Tecnología</w:t>
            </w:r>
          </w:p>
        </w:tc>
      </w:tr>
      <w:tr>
        <w:trPr>
          <w:cantSplit/>
        </w:trPr>
        <w:tc>
          <w:tcPr>
            <w:tcW w:type="dxa" w:w="316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Servidor</w:t>
            </w:r>
          </w:p>
        </w:tc>
        <w:tc>
          <w:tcPr>
            <w:tcW w:type="dxa" w:w="677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Node.js 22 LTS y Express 5</w:t>
            </w:r>
          </w:p>
        </w:tc>
      </w:tr>
      <w:tr>
        <w:trPr>
          <w:cantSplit/>
        </w:trPr>
        <w:tc>
          <w:tcPr>
            <w:tcW w:type="dxa" w:w="316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Base de datos relacional</w:t>
            </w:r>
          </w:p>
        </w:tc>
        <w:tc>
          <w:tcPr>
            <w:tcW w:type="dxa" w:w="677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SQL Server 2022 (procedimientos, vistas y triggers)</w:t>
            </w:r>
          </w:p>
        </w:tc>
      </w:tr>
      <w:tr>
        <w:trPr>
          <w:cantSplit/>
        </w:trPr>
        <w:tc>
          <w:tcPr>
            <w:tcW w:type="dxa" w:w="316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Base de datos documental</w:t>
            </w:r>
          </w:p>
        </w:tc>
        <w:tc>
          <w:tcPr>
            <w:tcW w:type="dxa" w:w="677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MongoDB 8 (documentos BSON, índices y agregaciones)</w:t>
            </w:r>
          </w:p>
        </w:tc>
      </w:tr>
      <w:tr>
        <w:trPr>
          <w:cantSplit/>
        </w:trPr>
        <w:tc>
          <w:tcPr>
            <w:tcW w:type="dxa" w:w="316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Seguridad</w:t>
            </w:r>
          </w:p>
        </w:tc>
        <w:tc>
          <w:tcPr>
            <w:tcW w:type="dxa" w:w="677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JSON Web Token, bcrypt, Helmet y express-rate-limit</w:t>
            </w:r>
          </w:p>
        </w:tc>
      </w:tr>
      <w:tr>
        <w:trPr>
          <w:cantSplit/>
        </w:trPr>
        <w:tc>
          <w:tcPr>
            <w:tcW w:type="dxa" w:w="316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Validación</w:t>
            </w:r>
          </w:p>
        </w:tc>
        <w:tc>
          <w:tcPr>
            <w:tcW w:type="dxa" w:w="677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Zod</w:t>
            </w:r>
          </w:p>
        </w:tc>
      </w:tr>
      <w:tr>
        <w:trPr>
          <w:cantSplit/>
        </w:trPr>
        <w:tc>
          <w:tcPr>
            <w:tcW w:type="dxa" w:w="316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Interfaz</w:t>
            </w:r>
          </w:p>
        </w:tc>
        <w:tc>
          <w:tcPr>
            <w:tcW w:type="dxa" w:w="677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HTML, CSS y JavaScript (módulos ES), gráficos SVG propios</w:t>
            </w:r>
          </w:p>
        </w:tc>
      </w:tr>
      <w:tr>
        <w:trPr>
          <w:cantSplit/>
        </w:trPr>
        <w:tc>
          <w:tcPr>
            <w:tcW w:type="dxa" w:w="316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Pruebas y documentación</w:t>
            </w:r>
          </w:p>
        </w:tc>
        <w:tc>
          <w:tcPr>
            <w:tcW w:type="dxa" w:w="677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node:test, Supertest, OpenAPI 3 y Postman</w:t>
            </w:r>
          </w:p>
        </w:tc>
      </w:tr>
      <w:tr>
        <w:trPr>
          <w:cantSplit/>
        </w:trPr>
        <w:tc>
          <w:tcPr>
            <w:tcW w:type="dxa" w:w="316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Despliegue</w:t>
            </w:r>
          </w:p>
        </w:tc>
        <w:tc>
          <w:tcPr>
            <w:tcW w:type="dxa" w:w="677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Docker, Docker Compose y GitHub Actions</w:t>
            </w:r>
          </w:p>
        </w:tc>
      </w:tr>
    </w:tbl>
    <w:p>
      <w:pPr>
        <w:pStyle w:val="Heading1"/>
        <w:pageBreakBefore/>
      </w:pPr>
      <w:r>
        <w:rPr>
          <w:rFonts w:ascii="Arial" w:cs="Arial" w:eastAsia="Arial" w:hAnsi="Arial"/>
        </w:rPr>
        <w:t xml:space="preserve">3 Arquitectura del servidor</w:t>
      </w:r>
    </w:p>
    <w:p>
      <w:pPr>
        <w:spacing w:after="120" w:line="288"/>
      </w:pPr>
      <w:r>
        <w:rPr>
          <w:rFonts w:ascii="Arial" w:cs="Arial" w:eastAsia="Arial" w:hAnsi="Arial"/>
        </w:rPr>
        <w:t xml:space="preserve">El backend se organiza en capas con responsabilidades únicas. Cada capa depende solo de la inferior, lo que facilita ubicar el código, probarlo y cambiarlo sin efectos colaterales.</w:t>
      </w:r>
    </w:p>
    <w:p>
      <w:pPr>
        <w:spacing w:before="120"/>
        <w:jc w:val="center"/>
      </w:pPr>
      <w:r>
        <w:drawing>
          <wp:inline distT="0" distB="0" distL="0" distR="0">
            <wp:extent cx="63055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4124325"/>
                    </a:xfrm>
                    <a:prstGeom prst="rect">
                      <a:avLst/>
                    </a:prstGeom>
                  </pic:spPr>
                </pic:pic>
              </a:graphicData>
            </a:graphic>
          </wp:inline>
        </w:drawing>
      </w:r>
    </w:p>
    <w:p>
      <w:pPr>
        <w:spacing w:after="240" w:before="60"/>
        <w:jc w:val="center"/>
      </w:pPr>
      <w:r>
        <w:rPr>
          <w:rFonts w:ascii="Arial" w:cs="Arial" w:eastAsia="Arial" w:hAnsi="Arial"/>
          <w:i/>
          <w:iCs/>
          <w:color w:val="5E6B7D"/>
          <w:sz w:val="18"/>
          <w:szCs w:val="18"/>
        </w:rPr>
        <w:t xml:space="preserve">Figura 1. Arquitectura en capas de FugaCliente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2208"/>
        <w:gridCol w:w="5741"/>
      </w:tblGrid>
      <w:tr>
        <w:trPr>
          <w:tblHeader/>
        </w:trPr>
        <w:tc>
          <w:tcPr>
            <w:tcW w:type="dxa" w:w="1987"/>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Capa</w:t>
            </w:r>
          </w:p>
        </w:tc>
        <w:tc>
          <w:tcPr>
            <w:tcW w:type="dxa" w:w="2208"/>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Ubicación</w:t>
            </w:r>
          </w:p>
        </w:tc>
        <w:tc>
          <w:tcPr>
            <w:tcW w:type="dxa" w:w="5741"/>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Responsabilidad</w:t>
            </w:r>
          </w:p>
        </w:tc>
      </w:tr>
      <w:tr>
        <w:trPr>
          <w:cantSplit/>
        </w:trPr>
        <w:tc>
          <w:tcPr>
            <w:tcW w:type="dxa" w:w="198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Middlewares</w:t>
            </w:r>
          </w:p>
        </w:tc>
        <w:tc>
          <w:tcPr>
            <w:tcW w:type="dxa" w:w="220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src/middlewares</w:t>
            </w:r>
          </w:p>
        </w:tc>
        <w:tc>
          <w:tcPr>
            <w:tcW w:type="dxa" w:w="574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Seguridad (Helmet/CSP), límite de solicitudes, logging, JWT, roles y validación</w:t>
            </w:r>
          </w:p>
        </w:tc>
      </w:tr>
      <w:tr>
        <w:trPr>
          <w:cantSplit/>
        </w:trPr>
        <w:tc>
          <w:tcPr>
            <w:tcW w:type="dxa" w:w="1987"/>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Rutas</w:t>
            </w:r>
          </w:p>
        </w:tc>
        <w:tc>
          <w:tcPr>
            <w:tcW w:type="dxa" w:w="220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src/routes</w:t>
            </w:r>
          </w:p>
        </w:tc>
        <w:tc>
          <w:tcPr>
            <w:tcW w:type="dxa" w:w="574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Declaran endpoints y la cadena de middlewares de cada uno</w:t>
            </w:r>
          </w:p>
        </w:tc>
      </w:tr>
      <w:tr>
        <w:trPr>
          <w:cantSplit/>
        </w:trPr>
        <w:tc>
          <w:tcPr>
            <w:tcW w:type="dxa" w:w="198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Controladores</w:t>
            </w:r>
          </w:p>
        </w:tc>
        <w:tc>
          <w:tcPr>
            <w:tcW w:type="dxa" w:w="220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src/controllers</w:t>
            </w:r>
          </w:p>
        </w:tc>
        <w:tc>
          <w:tcPr>
            <w:tcW w:type="dxa" w:w="574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Traducen HTTP a casos de uso y eligen el código (200, 201 + Location, 204)</w:t>
            </w:r>
          </w:p>
        </w:tc>
      </w:tr>
      <w:tr>
        <w:trPr>
          <w:cantSplit/>
        </w:trPr>
        <w:tc>
          <w:tcPr>
            <w:tcW w:type="dxa" w:w="1987"/>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Servicios</w:t>
            </w:r>
          </w:p>
        </w:tc>
        <w:tc>
          <w:tcPr>
            <w:tcW w:type="dxa" w:w="220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src/services</w:t>
            </w:r>
          </w:p>
        </w:tc>
        <w:tc>
          <w:tcPr>
            <w:tcW w:type="dxa" w:w="574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Reglas de negocio, motor de riesgo, analítica y reportes; no conocen HTTP ni SQL</w:t>
            </w:r>
          </w:p>
        </w:tc>
      </w:tr>
      <w:tr>
        <w:trPr>
          <w:cantSplit/>
        </w:trPr>
        <w:tc>
          <w:tcPr>
            <w:tcW w:type="dxa" w:w="198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Repositorios</w:t>
            </w:r>
          </w:p>
        </w:tc>
        <w:tc>
          <w:tcPr>
            <w:tcW w:type="dxa" w:w="220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src/repositories</w:t>
            </w:r>
          </w:p>
        </w:tc>
        <w:tc>
          <w:tcPr>
            <w:tcW w:type="dxa" w:w="574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Acceso a SQL Server y MongoDB con un contrato común; versión en memoria para demo y pruebas</w:t>
            </w:r>
          </w:p>
        </w:tc>
      </w:tr>
    </w:tbl>
    <w:p>
      <w:pPr>
        <w:spacing w:after="120"/>
      </w:pPr>
    </w:p>
    <w:p>
      <w:pPr>
        <w:pStyle w:val="Heading2"/>
      </w:pPr>
      <w:r>
        <w:rPr>
          <w:rFonts w:ascii="Arial" w:cs="Arial" w:eastAsia="Arial" w:hAnsi="Arial"/>
        </w:rPr>
        <w:t xml:space="preserve">Inyección de dependencias</w:t>
      </w:r>
    </w:p>
    <w:p>
      <w:pPr>
        <w:spacing w:after="120" w:line="288"/>
      </w:pPr>
      <w:r>
        <w:rPr>
          <w:rFonts w:ascii="Consolas" w:cs="Consolas" w:eastAsia="Consolas" w:hAnsi="Consolas"/>
          <w:color w:val="0F2A47"/>
          <w:sz w:val="19"/>
          <w:szCs w:val="19"/>
        </w:rPr>
        <w:t xml:space="preserve">src/container.js</w:t>
      </w:r>
      <w:r>
        <w:rPr>
          <w:rFonts w:ascii="Arial" w:cs="Arial" w:eastAsia="Arial" w:hAnsi="Arial"/>
        </w:rPr>
        <w:t xml:space="preserve"> es la raíz de composición: crea los servicios y les entrega los repositorios por constructor. Gracias a esto, la misma lógica de negocio se ejecuta con SQL Server y MongoDB en el modo completo, con repositorios en memoria en la demo y en las 41 pruebas automáticas, sin modificar una sola línea de los servicios.</w:t>
      </w:r>
    </w:p>
    <w:p>
      <w:pPr>
        <w:pStyle w:val="Heading2"/>
      </w:pPr>
      <w:r>
        <w:rPr>
          <w:rFonts w:ascii="Arial" w:cs="Arial" w:eastAsia="Arial" w:hAnsi="Arial"/>
        </w:rPr>
        <w:t xml:space="preserve">Flujo de una petición</w:t>
      </w:r>
    </w:p>
    <w:p>
      <w:pPr>
        <w:spacing w:after="120" w:line="288"/>
      </w:pPr>
      <w:r>
        <w:rPr>
          <w:rFonts w:ascii="Arial" w:cs="Arial" w:eastAsia="Arial" w:hAnsi="Arial"/>
        </w:rPr>
        <w:t xml:space="preserve">Ejemplo: registrar una incidencia con </w:t>
      </w:r>
      <w:r>
        <w:rPr>
          <w:rFonts w:ascii="Consolas" w:cs="Consolas" w:eastAsia="Consolas" w:hAnsi="Consolas"/>
          <w:color w:val="0F2A47"/>
          <w:sz w:val="19"/>
          <w:szCs w:val="19"/>
        </w:rPr>
        <w:t xml:space="preserve">POST /api/v1/incidents</w:t>
      </w:r>
      <w:r>
        <w:rPr>
          <w:rFonts w:ascii="Arial" w:cs="Arial" w:eastAsia="Arial" w:hAnsi="Arial"/>
        </w:rPr>
        <w:t xml:space="preserve">.</w:t>
      </w:r>
    </w:p>
    <w:p>
      <w:pPr>
        <w:pStyle w:val="ListParagraph"/>
        <w:numPr>
          <w:ilvl w:val="0"/>
          <w:numId w:val="3"/>
        </w:numPr>
        <w:spacing w:after="60" w:line="276"/>
      </w:pPr>
      <w:r>
        <w:rPr>
          <w:rFonts w:ascii="Arial" w:cs="Arial" w:eastAsia="Arial" w:hAnsi="Arial"/>
          <w:b/>
          <w:bCs/>
        </w:rPr>
        <w:t xml:space="preserve">Seguridad y logging:</w:t>
      </w:r>
      <w:r>
        <w:rPr>
          <w:rFonts w:ascii="Arial" w:cs="Arial" w:eastAsia="Arial" w:hAnsi="Arial"/>
        </w:rPr>
        <w:t xml:space="preserve"> Helmet agrega cabeceras y CSP; el logger asigna un </w:t>
      </w:r>
      <w:r>
        <w:rPr>
          <w:rFonts w:ascii="Consolas" w:cs="Consolas" w:eastAsia="Consolas" w:hAnsi="Consolas"/>
          <w:color w:val="0F2A47"/>
          <w:sz w:val="19"/>
          <w:szCs w:val="19"/>
        </w:rPr>
        <w:t xml:space="preserve">X-Request-Id</w:t>
      </w:r>
      <w:r>
        <w:rPr>
          <w:rFonts w:ascii="Arial" w:cs="Arial" w:eastAsia="Arial" w:hAnsi="Arial"/>
        </w:rPr>
        <w:t xml:space="preserve"> y mide la duración.</w:t>
      </w:r>
    </w:p>
    <w:p>
      <w:pPr>
        <w:pStyle w:val="ListParagraph"/>
        <w:numPr>
          <w:ilvl w:val="0"/>
          <w:numId w:val="3"/>
        </w:numPr>
        <w:spacing w:after="60" w:line="276"/>
      </w:pPr>
      <w:r>
        <w:rPr>
          <w:rFonts w:ascii="Arial" w:cs="Arial" w:eastAsia="Arial" w:hAnsi="Arial"/>
          <w:b/>
          <w:bCs/>
        </w:rPr>
        <w:t xml:space="preserve">Autenticación:</w:t>
      </w:r>
      <w:r>
        <w:rPr>
          <w:rFonts w:ascii="Arial" w:cs="Arial" w:eastAsia="Arial" w:hAnsi="Arial"/>
        </w:rPr>
        <w:t xml:space="preserve"> el middleware verifica el JWT y vuelve a consultar al usuario en SQL; si fue deshabilitado, responde 401.</w:t>
      </w:r>
    </w:p>
    <w:p>
      <w:pPr>
        <w:pStyle w:val="ListParagraph"/>
        <w:numPr>
          <w:ilvl w:val="0"/>
          <w:numId w:val="3"/>
        </w:numPr>
        <w:spacing w:after="60" w:line="276"/>
      </w:pPr>
      <w:r>
        <w:rPr>
          <w:rFonts w:ascii="Arial" w:cs="Arial" w:eastAsia="Arial" w:hAnsi="Arial"/>
          <w:b/>
          <w:bCs/>
        </w:rPr>
        <w:t xml:space="preserve">Validación:</w:t>
      </w:r>
      <w:r>
        <w:rPr>
          <w:rFonts w:ascii="Arial" w:cs="Arial" w:eastAsia="Arial" w:hAnsi="Arial"/>
        </w:rPr>
        <w:t xml:space="preserve"> Zod comprueba el cuerpo; campos inválidos o desconocidos devuelven 400 con el detalle por campo.</w:t>
      </w:r>
    </w:p>
    <w:p>
      <w:pPr>
        <w:pStyle w:val="ListParagraph"/>
        <w:numPr>
          <w:ilvl w:val="0"/>
          <w:numId w:val="3"/>
        </w:numPr>
        <w:spacing w:after="60" w:line="276"/>
      </w:pPr>
      <w:r>
        <w:rPr>
          <w:rFonts w:ascii="Arial" w:cs="Arial" w:eastAsia="Arial" w:hAnsi="Arial"/>
          <w:b/>
          <w:bCs/>
        </w:rPr>
        <w:t xml:space="preserve">Controlador:</w:t>
      </w:r>
      <w:r>
        <w:rPr>
          <w:rFonts w:ascii="Arial" w:cs="Arial" w:eastAsia="Arial" w:hAnsi="Arial"/>
        </w:rPr>
        <w:t xml:space="preserve"> </w:t>
      </w:r>
      <w:r>
        <w:rPr>
          <w:rFonts w:ascii="Consolas" w:cs="Consolas" w:eastAsia="Consolas" w:hAnsi="Consolas"/>
          <w:color w:val="0F2A47"/>
          <w:sz w:val="19"/>
          <w:szCs w:val="19"/>
        </w:rPr>
        <w:t xml:space="preserve">incident.controller.js</w:t>
      </w:r>
      <w:r>
        <w:rPr>
          <w:rFonts w:ascii="Arial" w:cs="Arial" w:eastAsia="Arial" w:hAnsi="Arial"/>
        </w:rPr>
        <w:t xml:space="preserve"> llama al caso de uso con los datos ya validados.</w:t>
      </w:r>
    </w:p>
    <w:p>
      <w:pPr>
        <w:pStyle w:val="ListParagraph"/>
        <w:numPr>
          <w:ilvl w:val="0"/>
          <w:numId w:val="3"/>
        </w:numPr>
        <w:spacing w:after="60" w:line="276"/>
      </w:pPr>
      <w:r>
        <w:rPr>
          <w:rFonts w:ascii="Arial" w:cs="Arial" w:eastAsia="Arial" w:hAnsi="Arial"/>
          <w:b/>
          <w:bCs/>
        </w:rPr>
        <w:t xml:space="preserve">Servicio y repositorio:</w:t>
      </w:r>
      <w:r>
        <w:rPr>
          <w:rFonts w:ascii="Arial" w:cs="Arial" w:eastAsia="Arial" w:hAnsi="Arial"/>
        </w:rPr>
        <w:t xml:space="preserve"> </w:t>
      </w:r>
      <w:r>
        <w:rPr>
          <w:rFonts w:ascii="Consolas" w:cs="Consolas" w:eastAsia="Consolas" w:hAnsi="Consolas"/>
          <w:color w:val="0F2A47"/>
          <w:sz w:val="19"/>
          <w:szCs w:val="19"/>
        </w:rPr>
        <w:t xml:space="preserve">IncidentService</w:t>
      </w:r>
      <w:r>
        <w:rPr>
          <w:rFonts w:ascii="Arial" w:cs="Arial" w:eastAsia="Arial" w:hAnsi="Arial"/>
        </w:rPr>
        <w:t xml:space="preserve"> delega en </w:t>
      </w:r>
      <w:r>
        <w:rPr>
          <w:rFonts w:ascii="Consolas" w:cs="Consolas" w:eastAsia="Consolas" w:hAnsi="Consolas"/>
          <w:color w:val="0F2A47"/>
          <w:sz w:val="19"/>
          <w:szCs w:val="19"/>
        </w:rPr>
        <w:t xml:space="preserve">SqlRepository</w:t>
      </w:r>
      <w:r>
        <w:rPr>
          <w:rFonts w:ascii="Arial" w:cs="Arial" w:eastAsia="Arial" w:hAnsi="Arial"/>
        </w:rPr>
        <w:t xml:space="preserve">, que ejecuta </w:t>
      </w:r>
      <w:r>
        <w:rPr>
          <w:rFonts w:ascii="Consolas" w:cs="Consolas" w:eastAsia="Consolas" w:hAnsi="Consolas"/>
          <w:color w:val="0F2A47"/>
          <w:sz w:val="19"/>
          <w:szCs w:val="19"/>
        </w:rPr>
        <w:t xml:space="preserve">dbo.sp_RegisterIncident</w:t>
      </w:r>
      <w:r>
        <w:rPr>
          <w:rFonts w:ascii="Arial" w:cs="Arial" w:eastAsia="Arial" w:hAnsi="Arial"/>
        </w:rPr>
        <w:t xml:space="preserve"> con parámetros.</w:t>
      </w:r>
    </w:p>
    <w:p>
      <w:pPr>
        <w:pStyle w:val="ListParagraph"/>
        <w:numPr>
          <w:ilvl w:val="0"/>
          <w:numId w:val="3"/>
        </w:numPr>
        <w:spacing w:after="60" w:line="276"/>
      </w:pPr>
      <w:r>
        <w:rPr>
          <w:rFonts w:ascii="Arial" w:cs="Arial" w:eastAsia="Arial" w:hAnsi="Arial"/>
          <w:b/>
          <w:bCs/>
        </w:rPr>
        <w:t xml:space="preserve">Transacción:</w:t>
      </w:r>
      <w:r>
        <w:rPr>
          <w:rFonts w:ascii="Arial" w:cs="Arial" w:eastAsia="Arial" w:hAnsi="Arial"/>
        </w:rPr>
        <w:t xml:space="preserve"> el procedimiento valida cliente, servicio y categoría, inserta la incidencia y su evento en </w:t>
      </w:r>
      <w:r>
        <w:rPr>
          <w:rFonts w:ascii="Consolas" w:cs="Consolas" w:eastAsia="Consolas" w:hAnsi="Consolas"/>
          <w:color w:val="0F2A47"/>
          <w:sz w:val="19"/>
          <w:szCs w:val="19"/>
        </w:rPr>
        <w:t xml:space="preserve">AuditOutbox</w:t>
      </w:r>
      <w:r>
        <w:rPr>
          <w:rFonts w:ascii="Arial" w:cs="Arial" w:eastAsia="Arial" w:hAnsi="Arial"/>
        </w:rPr>
        <w:t xml:space="preserve">, y confirma.</w:t>
      </w:r>
    </w:p>
    <w:p>
      <w:pPr>
        <w:pStyle w:val="ListParagraph"/>
        <w:numPr>
          <w:ilvl w:val="0"/>
          <w:numId w:val="3"/>
        </w:numPr>
        <w:spacing w:after="60" w:line="276"/>
      </w:pPr>
      <w:r>
        <w:rPr>
          <w:rFonts w:ascii="Arial" w:cs="Arial" w:eastAsia="Arial" w:hAnsi="Arial"/>
          <w:b/>
          <w:bCs/>
        </w:rPr>
        <w:t xml:space="preserve">Respuesta:</w:t>
      </w:r>
      <w:r>
        <w:rPr>
          <w:rFonts w:ascii="Arial" w:cs="Arial" w:eastAsia="Arial" w:hAnsi="Arial"/>
        </w:rPr>
        <w:t xml:space="preserve"> el API devuelve 201 con encabezado </w:t>
      </w:r>
      <w:r>
        <w:rPr>
          <w:rFonts w:ascii="Consolas" w:cs="Consolas" w:eastAsia="Consolas" w:hAnsi="Consolas"/>
          <w:color w:val="0F2A47"/>
          <w:sz w:val="19"/>
          <w:szCs w:val="19"/>
        </w:rPr>
        <w:t xml:space="preserve">Location</w:t>
      </w:r>
      <w:r>
        <w:rPr>
          <w:rFonts w:ascii="Arial" w:cs="Arial" w:eastAsia="Arial" w:hAnsi="Arial"/>
        </w:rPr>
        <w:t xml:space="preserve">; el log HTTP se guarda en MongoDB al terminar.</w:t>
      </w:r>
    </w:p>
    <w:p>
      <w:pPr>
        <w:pStyle w:val="ListParagraph"/>
        <w:numPr>
          <w:ilvl w:val="0"/>
          <w:numId w:val="3"/>
        </w:numPr>
        <w:spacing w:after="60" w:line="276"/>
      </w:pPr>
      <w:r>
        <w:rPr>
          <w:rFonts w:ascii="Arial" w:cs="Arial" w:eastAsia="Arial" w:hAnsi="Arial"/>
          <w:b/>
          <w:bCs/>
        </w:rPr>
        <w:t xml:space="preserve">Outbox:</w:t>
      </w:r>
      <w:r>
        <w:rPr>
          <w:rFonts w:ascii="Arial" w:cs="Arial" w:eastAsia="Arial" w:hAnsi="Arial"/>
        </w:rPr>
        <w:t xml:space="preserve"> el worker envía el evento a MongoDB en segundos; si MongoDB no responde, lo reintenta sin perderlo.</w:t>
      </w:r>
    </w:p>
    <w:p>
      <w:pPr>
        <w:pStyle w:val="Heading2"/>
      </w:pPr>
      <w:r>
        <w:rPr>
          <w:rFonts w:ascii="Arial" w:cs="Arial" w:eastAsia="Arial" w:hAnsi="Arial"/>
        </w:rPr>
        <w:t xml:space="preserve">Patrón Transactional Outbox</w:t>
      </w:r>
    </w:p>
    <w:p>
      <w:pPr>
        <w:spacing w:after="120" w:line="288"/>
      </w:pPr>
      <w:r>
        <w:rPr>
          <w:rFonts w:ascii="Arial" w:cs="Arial" w:eastAsia="Arial" w:hAnsi="Arial"/>
        </w:rPr>
        <w:t xml:space="preserve">SQL Server y MongoDB no comparten una transacción. Para no perder eventos, el cambio de negocio y su evento se confirman juntos en SQL (</w:t>
      </w:r>
      <w:r>
        <w:rPr>
          <w:rFonts w:ascii="Consolas" w:cs="Consolas" w:eastAsia="Consolas" w:hAnsi="Consolas"/>
          <w:color w:val="0F2A47"/>
          <w:sz w:val="19"/>
          <w:szCs w:val="19"/>
        </w:rPr>
        <w:t xml:space="preserve">dbo.AuditOutbox</w:t>
      </w:r>
      <w:r>
        <w:rPr>
          <w:rFonts w:ascii="Arial" w:cs="Arial" w:eastAsia="Arial" w:hAnsi="Arial"/>
        </w:rPr>
        <w:t xml:space="preserve">). Un worker los entrega a MongoDB con un upsert idempotente por </w:t>
      </w:r>
      <w:r>
        <w:rPr>
          <w:rFonts w:ascii="Consolas" w:cs="Consolas" w:eastAsia="Consolas" w:hAnsi="Consolas"/>
          <w:color w:val="0F2A47"/>
          <w:sz w:val="19"/>
          <w:szCs w:val="19"/>
        </w:rPr>
        <w:t xml:space="preserve">eventId</w:t>
      </w:r>
      <w:r>
        <w:rPr>
          <w:rFonts w:ascii="Arial" w:cs="Arial" w:eastAsia="Arial" w:hAnsi="Arial"/>
        </w:rPr>
        <w:t xml:space="preserve"> y los marca como procesados. Si MongoDB cae, los eventos permanecen pendientes y se reintentan sin duplicarse. La auditoría de negocio es, por tanto, </w:t>
      </w:r>
      <w:r>
        <w:rPr>
          <w:rFonts w:ascii="Arial" w:cs="Arial" w:eastAsia="Arial" w:hAnsi="Arial"/>
          <w:b/>
          <w:bCs/>
        </w:rPr>
        <w:t xml:space="preserve">eventualmente consistente</w:t>
      </w:r>
      <w:r>
        <w:rPr>
          <w:rFonts w:ascii="Arial" w:cs="Arial" w:eastAsia="Arial" w:hAnsi="Arial"/>
        </w:rPr>
        <w:t xml:space="preserve">.</w:t>
      </w:r>
    </w:p>
    <w:p>
      <w:pPr>
        <w:spacing w:after="120" w:line="288"/>
      </w:pPr>
      <w:r>
        <w:rPr>
          <w:rFonts w:ascii="Arial" w:cs="Arial" w:eastAsia="Arial" w:hAnsi="Arial"/>
        </w:rPr>
        <w:t xml:space="preserve">Los logs HTTP son de mejor esfuerzo: si su escritura falla, la operación ya confirmada conserva su resultado. Nunca se registran contraseñas, tokens, cuerpos de petición ni parámetros de búsqueda.</w:t>
      </w:r>
    </w:p>
    <w:p>
      <w:pPr>
        <w:pStyle w:val="Heading1"/>
        <w:pageBreakBefore/>
      </w:pPr>
      <w:r>
        <w:rPr>
          <w:rFonts w:ascii="Arial" w:cs="Arial" w:eastAsia="Arial" w:hAnsi="Arial"/>
        </w:rPr>
        <w:t xml:space="preserve">4 Persistencia relacional en SQL Server</w:t>
      </w:r>
    </w:p>
    <w:p>
      <w:pPr>
        <w:spacing w:after="120" w:line="288"/>
      </w:pPr>
      <w:r>
        <w:rPr>
          <w:rFonts w:ascii="Arial" w:cs="Arial" w:eastAsia="Arial" w:hAnsi="Arial"/>
        </w:rPr>
        <w:t xml:space="preserve">SQL Server es la fuente de verdad de los datos de negocio. El script </w:t>
      </w:r>
      <w:r>
        <w:rPr>
          <w:rFonts w:ascii="Consolas" w:cs="Consolas" w:eastAsia="Consolas" w:hAnsi="Consolas"/>
          <w:color w:val="0F2A47"/>
          <w:sz w:val="19"/>
          <w:szCs w:val="19"/>
        </w:rPr>
        <w:t xml:space="preserve">database/schema.sql</w:t>
      </w:r>
      <w:r>
        <w:rPr>
          <w:rFonts w:ascii="Arial" w:cs="Arial" w:eastAsia="Arial" w:hAnsi="Arial"/>
        </w:rPr>
        <w:t xml:space="preserve"> es idempotente: puede ejecutarse varias veces sin borrar datos.</w:t>
      </w:r>
    </w:p>
    <w:p>
      <w:pPr>
        <w:pStyle w:val="Heading2"/>
      </w:pPr>
      <w:r>
        <w:rPr>
          <w:rFonts w:ascii="Arial" w:cs="Arial" w:eastAsia="Arial" w:hAnsi="Arial"/>
        </w:rPr>
        <w:t xml:space="preserve">Modelo de datos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32"/>
        <w:gridCol w:w="3726"/>
        <w:gridCol w:w="3478"/>
      </w:tblGrid>
      <w:tr>
        <w:trPr>
          <w:tblHeader/>
        </w:trPr>
        <w:tc>
          <w:tcPr>
            <w:tcW w:type="dxa" w:w="2732"/>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Tabla</w:t>
            </w:r>
          </w:p>
        </w:tc>
        <w:tc>
          <w:tcPr>
            <w:tcW w:type="dxa" w:w="3726"/>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Clave o relación principal</w:t>
            </w:r>
          </w:p>
        </w:tc>
        <w:tc>
          <w:tcPr>
            <w:tcW w:type="dxa" w:w="3478"/>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Responsabilidad</w:t>
            </w:r>
          </w:p>
        </w:tc>
      </w:tr>
      <w:tr>
        <w:trPr>
          <w:cantSplit/>
        </w:trPr>
        <w:tc>
          <w:tcPr>
            <w:tcW w:type="dxa" w:w="273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Roles</w:t>
            </w:r>
          </w:p>
        </w:tc>
        <w:tc>
          <w:tcPr>
            <w:tcW w:type="dxa" w:w="372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RoleId, Code único</w:t>
            </w:r>
          </w:p>
        </w:tc>
        <w:tc>
          <w:tcPr>
            <w:tcW w:type="dxa" w:w="347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Catálogo de permisos</w:t>
            </w:r>
          </w:p>
        </w:tc>
      </w:tr>
      <w:tr>
        <w:trPr>
          <w:cantSplit/>
        </w:trPr>
        <w:tc>
          <w:tcPr>
            <w:tcW w:type="dxa" w:w="273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Users</w:t>
            </w:r>
          </w:p>
        </w:tc>
        <w:tc>
          <w:tcPr>
            <w:tcW w:type="dxa" w:w="372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UserId, FK RoleId, Email único</w:t>
            </w:r>
          </w:p>
        </w:tc>
        <w:tc>
          <w:tcPr>
            <w:tcW w:type="dxa" w:w="347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Equipo y hash bcrypt de contraseña</w:t>
            </w:r>
          </w:p>
        </w:tc>
      </w:tr>
      <w:tr>
        <w:trPr>
          <w:cantSplit/>
        </w:trPr>
        <w:tc>
          <w:tcPr>
            <w:tcW w:type="dxa" w:w="273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ClientSegments</w:t>
            </w:r>
          </w:p>
        </w:tc>
        <w:tc>
          <w:tcPr>
            <w:tcW w:type="dxa" w:w="372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SegmentId</w:t>
            </w:r>
          </w:p>
        </w:tc>
        <w:tc>
          <w:tcPr>
            <w:tcW w:type="dxa" w:w="347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Catálogo de segmentos</w:t>
            </w:r>
          </w:p>
        </w:tc>
      </w:tr>
      <w:tr>
        <w:trPr>
          <w:cantSplit/>
        </w:trPr>
        <w:tc>
          <w:tcPr>
            <w:tcW w:type="dxa" w:w="273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Clients</w:t>
            </w:r>
          </w:p>
        </w:tc>
        <w:tc>
          <w:tcPr>
            <w:tcW w:type="dxa" w:w="372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ClientId, FK SegmentId, Email único</w:t>
            </w:r>
          </w:p>
        </w:tc>
        <w:tc>
          <w:tcPr>
            <w:tcW w:type="dxa" w:w="347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Clientes y estado activo/inactivo</w:t>
            </w:r>
          </w:p>
        </w:tc>
      </w:tr>
      <w:tr>
        <w:trPr>
          <w:cantSplit/>
        </w:trPr>
        <w:tc>
          <w:tcPr>
            <w:tcW w:type="dxa" w:w="273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Services</w:t>
            </w:r>
          </w:p>
        </w:tc>
        <w:tc>
          <w:tcPr>
            <w:tcW w:type="dxa" w:w="372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ServiceId, Name único</w:t>
            </w:r>
          </w:p>
        </w:tc>
        <w:tc>
          <w:tcPr>
            <w:tcW w:type="dxa" w:w="347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Servicios y plazo SLA (1–720 h)</w:t>
            </w:r>
          </w:p>
        </w:tc>
      </w:tr>
      <w:tr>
        <w:trPr>
          <w:cantSplit/>
        </w:trPr>
        <w:tc>
          <w:tcPr>
            <w:tcW w:type="dxa" w:w="273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IncidentCategories</w:t>
            </w:r>
          </w:p>
        </w:tc>
        <w:tc>
          <w:tcPr>
            <w:tcW w:type="dxa" w:w="372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CategoryId</w:t>
            </w:r>
          </w:p>
        </w:tc>
        <w:tc>
          <w:tcPr>
            <w:tcW w:type="dxa" w:w="347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Catálogo de motivos de reclamo</w:t>
            </w:r>
          </w:p>
        </w:tc>
      </w:tr>
      <w:tr>
        <w:trPr>
          <w:cantSplit/>
        </w:trPr>
        <w:tc>
          <w:tcPr>
            <w:tcW w:type="dxa" w:w="273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Incidents</w:t>
            </w:r>
          </w:p>
        </w:tc>
        <w:tc>
          <w:tcPr>
            <w:tcW w:type="dxa" w:w="372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IncidentId, FK cliente, servicio, categoría y usuarios</w:t>
            </w:r>
          </w:p>
        </w:tc>
        <w:tc>
          <w:tcPr>
            <w:tcW w:type="dxa" w:w="347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Experiencias de atención con versión</w:t>
            </w:r>
          </w:p>
        </w:tc>
      </w:tr>
      <w:tr>
        <w:trPr>
          <w:cantSplit/>
        </w:trPr>
        <w:tc>
          <w:tcPr>
            <w:tcW w:type="dxa" w:w="273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RetentionActions</w:t>
            </w:r>
          </w:p>
        </w:tc>
        <w:tc>
          <w:tcPr>
            <w:tcW w:type="dxa" w:w="372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ActionId, FK cliente y usuarios</w:t>
            </w:r>
          </w:p>
        </w:tc>
        <w:tc>
          <w:tcPr>
            <w:tcW w:type="dxa" w:w="347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Seguimiento, fecha límite y resultado</w:t>
            </w:r>
          </w:p>
        </w:tc>
      </w:tr>
      <w:tr>
        <w:trPr>
          <w:cantSplit/>
        </w:trPr>
        <w:tc>
          <w:tcPr>
            <w:tcW w:type="dxa" w:w="273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RetentionActionIncidents</w:t>
            </w:r>
          </w:p>
        </w:tc>
        <w:tc>
          <w:tcPr>
            <w:tcW w:type="dxa" w:w="372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ActionId, FK IncidentId</w:t>
            </w:r>
          </w:p>
        </w:tc>
        <w:tc>
          <w:tcPr>
            <w:tcW w:type="dxa" w:w="347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Vínculo opcional acción–incidencia</w:t>
            </w:r>
          </w:p>
        </w:tc>
      </w:tr>
      <w:tr>
        <w:trPr>
          <w:cantSplit/>
        </w:trPr>
        <w:tc>
          <w:tcPr>
            <w:tcW w:type="dxa" w:w="273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AuditOutbox</w:t>
            </w:r>
          </w:p>
        </w:tc>
        <w:tc>
          <w:tcPr>
            <w:tcW w:type="dxa" w:w="372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EventId, FK ActorId</w:t>
            </w:r>
          </w:p>
        </w:tc>
        <w:tc>
          <w:tcPr>
            <w:tcW w:type="dxa" w:w="347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Eventos pendientes de enviar a MongoDB</w:t>
            </w:r>
          </w:p>
        </w:tc>
      </w:tr>
    </w:tbl>
    <w:p>
      <w:pPr>
        <w:spacing w:after="120"/>
      </w:pPr>
    </w:p>
    <w:p>
      <w:pPr>
        <w:pStyle w:val="Heading2"/>
      </w:pPr>
      <w:r>
        <w:rPr>
          <w:rFonts w:ascii="Arial" w:cs="Arial" w:eastAsia="Arial" w:hAnsi="Arial"/>
        </w:rPr>
        <w:t xml:space="preserve">Normalización e integridad</w:t>
      </w:r>
    </w:p>
    <w:p>
      <w:pPr>
        <w:spacing w:after="120" w:line="288"/>
      </w:pPr>
      <w:r>
        <w:rPr>
          <w:rFonts w:ascii="Arial" w:cs="Arial" w:eastAsia="Arial" w:hAnsi="Arial"/>
        </w:rPr>
        <w:t xml:space="preserve">Los atributos son atómicos y cada entidad tiene clave primaria. Roles, segmentos, categorías y servicios se guardan en catálogos y se referencian por ID, evitando dependencias transitivas (3FN). La asociación opcional entre una acción y una incidencia vive en su propia tabla, y dos triggers impiden vincular casos de clientes distintos.</w:t>
      </w:r>
    </w:p>
    <w:p>
      <w:pPr>
        <w:spacing w:after="120" w:line="288"/>
      </w:pPr>
      <w:r>
        <w:rPr>
          <w:rFonts w:ascii="Arial" w:cs="Arial" w:eastAsia="Arial" w:hAnsi="Arial"/>
        </w:rPr>
        <w:t xml:space="preserve">Las restricciones </w:t>
      </w:r>
      <w:r>
        <w:rPr>
          <w:rFonts w:ascii="Consolas" w:cs="Consolas" w:eastAsia="Consolas" w:hAnsi="Consolas"/>
          <w:color w:val="0F2A47"/>
          <w:sz w:val="19"/>
          <w:szCs w:val="19"/>
        </w:rPr>
        <w:t xml:space="preserve">CHECK</w:t>
      </w:r>
      <w:r>
        <w:rPr>
          <w:rFonts w:ascii="Arial" w:cs="Arial" w:eastAsia="Arial" w:hAnsi="Arial"/>
        </w:rPr>
        <w:t xml:space="preserve"> controlan gravedad (1–3), satisfacción (1–5), estados permitidos, resultados de retención y la coherencia entre estado resuelto y fecha de resolución. Archivar un cliente es lógico: se conserva todo su historial. El puntaje no se almacena; se calcula a partir de las incidencias para evitar datos duplicados.</w:t>
      </w:r>
    </w:p>
    <w:p>
      <w:pPr>
        <w:pStyle w:val="Heading2"/>
      </w:pPr>
      <w:r>
        <w:rPr>
          <w:rFonts w:ascii="Arial" w:cs="Arial" w:eastAsia="Arial" w:hAnsi="Arial"/>
        </w:rPr>
        <w:t xml:space="preserve">Procedimientos almacenados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137"/>
        <w:gridCol w:w="6799"/>
      </w:tblGrid>
      <w:tr>
        <w:trPr>
          <w:tblHeader/>
        </w:trPr>
        <w:tc>
          <w:tcPr>
            <w:tcW w:type="dxa" w:w="3137"/>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Procedimiento</w:t>
            </w:r>
          </w:p>
        </w:tc>
        <w:tc>
          <w:tcPr>
            <w:tcW w:type="dxa" w:w="6799"/>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Qué garantiza</w:t>
            </w:r>
          </w:p>
        </w:tc>
      </w:tr>
      <w:tr>
        <w:trPr>
          <w:cantSplit/>
        </w:trPr>
        <w:tc>
          <w:tcPr>
            <w:tcW w:type="dxa" w:w="313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sp_QueueEvent</w:t>
            </w:r>
          </w:p>
        </w:tc>
        <w:tc>
          <w:tcPr>
            <w:tcW w:type="dxa" w:w="6799"/>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Encola el evento de auditoría dentro de la transacción que lo origina</w:t>
            </w:r>
          </w:p>
        </w:tc>
      </w:tr>
      <w:tr>
        <w:trPr>
          <w:cantSplit/>
        </w:trPr>
        <w:tc>
          <w:tcPr>
            <w:tcW w:type="dxa" w:w="3137"/>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sp_RegisterIncident</w:t>
            </w:r>
          </w:p>
        </w:tc>
        <w:tc>
          <w:tcPr>
            <w:tcW w:type="dxa" w:w="6799"/>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Valida cliente activo, servicio, categoría y responsable; inserta incidencia y evento con </w:t>
            </w:r>
            <w:r>
              <w:rPr>
                <w:rFonts w:ascii="Consolas" w:cs="Consolas" w:eastAsia="Consolas" w:hAnsi="Consolas"/>
                <w:color w:val="0F2A47"/>
                <w:sz w:val="18"/>
                <w:szCs w:val="18"/>
              </w:rPr>
              <w:t xml:space="preserve">BEGIN TRAN</w:t>
            </w:r>
            <w:r>
              <w:rPr>
                <w:rFonts w:ascii="Arial" w:cs="Arial" w:eastAsia="Arial" w:hAnsi="Arial"/>
                <w:sz w:val="18"/>
                <w:szCs w:val="18"/>
              </w:rPr>
              <w:t xml:space="preserve">/</w:t>
            </w:r>
            <w:r>
              <w:rPr>
                <w:rFonts w:ascii="Consolas" w:cs="Consolas" w:eastAsia="Consolas" w:hAnsi="Consolas"/>
                <w:color w:val="0F2A47"/>
                <w:sz w:val="18"/>
                <w:szCs w:val="18"/>
              </w:rPr>
              <w:t xml:space="preserve">COMMIT</w:t>
            </w:r>
            <w:r>
              <w:rPr>
                <w:rFonts w:ascii="Arial" w:cs="Arial" w:eastAsia="Arial" w:hAnsi="Arial"/>
                <w:sz w:val="18"/>
                <w:szCs w:val="18"/>
              </w:rPr>
              <w:t xml:space="preserve">; revierte ante cualquier error</w:t>
            </w:r>
          </w:p>
        </w:tc>
      </w:tr>
      <w:tr>
        <w:trPr>
          <w:cantSplit/>
        </w:trPr>
        <w:tc>
          <w:tcPr>
            <w:tcW w:type="dxa" w:w="313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sp_UpdateIncidentStatus</w:t>
            </w:r>
          </w:p>
        </w:tc>
        <w:tc>
          <w:tcPr>
            <w:tcW w:type="dxa" w:w="6799"/>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Bloquea la fila (</w:t>
            </w:r>
            <w:r>
              <w:rPr>
                <w:rFonts w:ascii="Consolas" w:cs="Consolas" w:eastAsia="Consolas" w:hAnsi="Consolas"/>
                <w:color w:val="0F2A47"/>
                <w:sz w:val="18"/>
                <w:szCs w:val="18"/>
              </w:rPr>
              <w:t xml:space="preserve">UPDLOCK, HOLDLOCK</w:t>
            </w:r>
            <w:r>
              <w:rPr>
                <w:rFonts w:ascii="Arial" w:cs="Arial" w:eastAsia="Arial" w:hAnsi="Arial"/>
                <w:sz w:val="18"/>
                <w:szCs w:val="18"/>
              </w:rPr>
              <w:t xml:space="preserve">), compara </w:t>
            </w:r>
            <w:r>
              <w:rPr>
                <w:rFonts w:ascii="Consolas" w:cs="Consolas" w:eastAsia="Consolas" w:hAnsi="Consolas"/>
                <w:color w:val="0F2A47"/>
                <w:sz w:val="18"/>
                <w:szCs w:val="18"/>
              </w:rPr>
              <w:t xml:space="preserve">ExpectedVersion</w:t>
            </w:r>
            <w:r>
              <w:rPr>
                <w:rFonts w:ascii="Arial" w:cs="Arial" w:eastAsia="Arial" w:hAnsi="Arial"/>
                <w:sz w:val="18"/>
                <w:szCs w:val="18"/>
              </w:rPr>
              <w:t xml:space="preserve"> y aplica solo transiciones válidas; una versión obsoleta produce 409</w:t>
            </w:r>
          </w:p>
        </w:tc>
      </w:tr>
      <w:tr>
        <w:trPr>
          <w:cantSplit/>
        </w:trPr>
        <w:tc>
          <w:tcPr>
            <w:tcW w:type="dxa" w:w="3137"/>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sp_CreateRetentionAction</w:t>
            </w:r>
          </w:p>
        </w:tc>
        <w:tc>
          <w:tcPr>
            <w:tcW w:type="dxa" w:w="6799"/>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Valida responsable, fecha futura y que la incidencia pertenezca al mismo cliente</w:t>
            </w:r>
          </w:p>
        </w:tc>
      </w:tr>
      <w:tr>
        <w:trPr>
          <w:cantSplit/>
        </w:trPr>
        <w:tc>
          <w:tcPr>
            <w:tcW w:type="dxa" w:w="313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Consolas" w:cs="Consolas" w:eastAsia="Consolas" w:hAnsi="Consolas"/>
                <w:color w:val="0F2A47"/>
                <w:sz w:val="18"/>
                <w:szCs w:val="18"/>
              </w:rPr>
              <w:t xml:space="preserve">sp_CompleteRetentionAction</w:t>
            </w:r>
          </w:p>
        </w:tc>
        <w:tc>
          <w:tcPr>
            <w:tcW w:type="dxa" w:w="6799"/>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Registra el resultado una sola vez; repetir el mismo resultado es idempotente</w:t>
            </w:r>
          </w:p>
        </w:tc>
      </w:tr>
    </w:tbl>
    <w:p>
      <w:pPr>
        <w:spacing w:after="120"/>
      </w:pPr>
    </w:p>
    <w:p>
      <w:pPr>
        <w:pStyle w:val="Heading2"/>
      </w:pPr>
      <w:r>
        <w:rPr>
          <w:rFonts w:ascii="Arial" w:cs="Arial" w:eastAsia="Arial" w:hAnsi="Arial"/>
        </w:rPr>
        <w:t xml:space="preserve">Vistas e índices</w:t>
      </w:r>
    </w:p>
    <w:p>
      <w:pPr>
        <w:pStyle w:val="ListParagraph"/>
        <w:numPr>
          <w:ilvl w:val="0"/>
          <w:numId w:val="4"/>
        </w:numPr>
        <w:spacing w:after="60" w:line="276"/>
      </w:pPr>
      <w:r>
        <w:rPr>
          <w:rFonts w:ascii="Consolas" w:cs="Consolas" w:eastAsia="Consolas" w:hAnsi="Consolas"/>
          <w:color w:val="0F2A47"/>
          <w:sz w:val="19"/>
          <w:szCs w:val="19"/>
        </w:rPr>
        <w:t xml:space="preserve">vw_IncidentDetail</w:t>
      </w:r>
      <w:r>
        <w:rPr>
          <w:rFonts w:ascii="Arial" w:cs="Arial" w:eastAsia="Arial" w:hAnsi="Arial"/>
        </w:rPr>
        <w:t xml:space="preserve"> y </w:t>
      </w:r>
      <w:r>
        <w:rPr>
          <w:rFonts w:ascii="Consolas" w:cs="Consolas" w:eastAsia="Consolas" w:hAnsi="Consolas"/>
          <w:color w:val="0F2A47"/>
          <w:sz w:val="19"/>
          <w:szCs w:val="19"/>
        </w:rPr>
        <w:t xml:space="preserve">vw_RetentionActionDetail</w:t>
      </w:r>
      <w:r>
        <w:rPr>
          <w:rFonts w:ascii="Arial" w:cs="Arial" w:eastAsia="Arial" w:hAnsi="Arial"/>
        </w:rPr>
        <w:t xml:space="preserve"> encapsulan los JOIN con clientes, servicios, categorías y usuarios. El repositorio solo consulta la vista con parámetros.</w:t>
      </w:r>
    </w:p>
    <w:p>
      <w:pPr>
        <w:pStyle w:val="ListParagraph"/>
        <w:numPr>
          <w:ilvl w:val="0"/>
          <w:numId w:val="4"/>
        </w:numPr>
        <w:spacing w:after="60" w:line="276"/>
      </w:pPr>
      <w:r>
        <w:rPr>
          <w:rFonts w:ascii="Consolas" w:cs="Consolas" w:eastAsia="Consolas" w:hAnsi="Consolas"/>
          <w:color w:val="0F2A47"/>
          <w:sz w:val="19"/>
          <w:szCs w:val="19"/>
        </w:rPr>
        <w:t xml:space="preserve">vw_ClientIncidentSummary</w:t>
      </w:r>
      <w:r>
        <w:rPr>
          <w:rFonts w:ascii="Arial" w:cs="Arial" w:eastAsia="Arial" w:hAnsi="Arial"/>
        </w:rPr>
        <w:t xml:space="preserve"> resume por cliente el total de incidencias, las pendientes y las de los últimos 30 días, lista para reportes en SSMS o Power BI.</w:t>
      </w:r>
    </w:p>
    <w:p>
      <w:pPr>
        <w:pStyle w:val="ListParagraph"/>
        <w:numPr>
          <w:ilvl w:val="0"/>
          <w:numId w:val="4"/>
        </w:numPr>
        <w:spacing w:after="60" w:line="276"/>
      </w:pPr>
      <w:r>
        <w:rPr>
          <w:rFonts w:ascii="Arial" w:cs="Arial" w:eastAsia="Arial" w:hAnsi="Arial"/>
        </w:rPr>
        <w:t xml:space="preserve">Índices de cobertura para el historial por cliente, el estado de incidencias (</w:t>
      </w:r>
      <w:r>
        <w:rPr>
          <w:rFonts w:ascii="Consolas" w:cs="Consolas" w:eastAsia="Consolas" w:hAnsi="Consolas"/>
          <w:color w:val="0F2A47"/>
          <w:sz w:val="19"/>
          <w:szCs w:val="19"/>
        </w:rPr>
        <w:t xml:space="preserve">IX_Incidents_Status</w:t>
      </w:r>
      <w:r>
        <w:rPr>
          <w:rFonts w:ascii="Arial" w:cs="Arial" w:eastAsia="Arial" w:hAnsi="Arial"/>
        </w:rPr>
        <w:t xml:space="preserve">), las acciones pendientes y el outbox sin procesar.</w:t>
      </w:r>
    </w:p>
    <w:p>
      <w:pPr>
        <w:spacing w:after="120" w:line="288"/>
      </w:pPr>
      <w:r>
        <w:rPr>
          <w:rFonts w:ascii="Arial" w:cs="Arial" w:eastAsia="Arial" w:hAnsi="Arial"/>
        </w:rPr>
        <w:t xml:space="preserve">Consulta de ejemplo para la sustentación:</w:t>
      </w:r>
    </w:p>
    <w:p>
      <w:pPr>
        <w:shd w:fill="0B1E33" w:color="auto" w:val="clear"/>
        <w:spacing w:after="0" w:before="80" w:line="260"/>
        <w:ind w:left="120" w:right="120"/>
      </w:pPr>
      <w:r>
        <w:rPr>
          <w:rFonts w:ascii="Consolas" w:cs="Consolas" w:eastAsia="Consolas" w:hAnsi="Consolas"/>
          <w:color w:val="D5E3F0"/>
          <w:sz w:val="18"/>
          <w:szCs w:val="18"/>
        </w:rPr>
        <w:t xml:space="preserve">SELECT * FROM dbo.vw_ClientIncidentSummary ORDER BY openIncidents DESC;</w:t>
      </w:r>
    </w:p>
    <w:p>
      <w:pPr>
        <w:shd w:fill="0B1E33" w:color="auto" w:val="clear"/>
        <w:spacing w:after="160" w:before="0" w:line="260"/>
        <w:ind w:left="120" w:right="120"/>
      </w:pPr>
      <w:r>
        <w:rPr>
          <w:rFonts w:ascii="Consolas" w:cs="Consolas" w:eastAsia="Consolas" w:hAnsi="Consolas"/>
          <w:color w:val="D5E3F0"/>
          <w:sz w:val="18"/>
          <w:szCs w:val="18"/>
        </w:rPr>
        <w:t xml:space="preserve">SELECT TOP (10) * FROM dbo.AuditOutbox ORDER BY OccurredAt DESC;</w:t>
      </w:r>
    </w:p>
    <w:p>
      <w:pPr>
        <w:pStyle w:val="Heading1"/>
        <w:pageBreakBefore/>
      </w:pPr>
      <w:r>
        <w:rPr>
          <w:rFonts w:ascii="Arial" w:cs="Arial" w:eastAsia="Arial" w:hAnsi="Arial"/>
        </w:rPr>
        <w:t xml:space="preserve">5 Persistencia documental en MongoDB</w:t>
      </w:r>
    </w:p>
    <w:p>
      <w:pPr>
        <w:spacing w:after="120" w:line="288"/>
      </w:pPr>
      <w:r>
        <w:rPr>
          <w:rFonts w:ascii="Arial" w:cs="Arial" w:eastAsia="Arial" w:hAnsi="Arial"/>
        </w:rPr>
        <w:t xml:space="preserve">MongoDB almacena la información cuya estructura varía o crece rápido: eventos de auditoría con payloads distintos según la operación, y notas de seguimiento. Separarla de SQL mantiene las tablas transaccionales limpias y aprovecha la flexibilidad del modelo documental.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92"/>
        <w:gridCol w:w="3785"/>
        <w:gridCol w:w="4259"/>
      </w:tblGrid>
      <w:tr>
        <w:trPr>
          <w:tblHeader/>
        </w:trPr>
        <w:tc>
          <w:tcPr>
            <w:tcW w:type="dxa" w:w="1892"/>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Colección</w:t>
            </w:r>
          </w:p>
        </w:tc>
        <w:tc>
          <w:tcPr>
            <w:tcW w:type="dxa" w:w="3785"/>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Contenido</w:t>
            </w:r>
          </w:p>
        </w:tc>
        <w:tc>
          <w:tcPr>
            <w:tcW w:type="dxa" w:w="4259"/>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Índices y reglas</w:t>
            </w:r>
          </w:p>
        </w:tc>
      </w:tr>
      <w:tr>
        <w:trPr>
          <w:cantSplit/>
        </w:trPr>
        <w:tc>
          <w:tcPr>
            <w:tcW w:type="dxa" w:w="189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events</w:t>
            </w:r>
          </w:p>
        </w:tc>
        <w:tc>
          <w:tcPr>
            <w:tcW w:type="dxa" w:w="378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Eventos de negocio (desde el outbox) y logs HTTP; payload flexible</w:t>
            </w:r>
          </w:p>
        </w:tc>
        <w:tc>
          <w:tcPr>
            <w:tcW w:type="dxa" w:w="4259"/>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Único </w:t>
            </w:r>
            <w:r>
              <w:rPr>
                <w:rFonts w:ascii="Consolas" w:cs="Consolas" w:eastAsia="Consolas" w:hAnsi="Consolas"/>
                <w:color w:val="0F2A47"/>
                <w:sz w:val="18"/>
                <w:szCs w:val="18"/>
              </w:rPr>
              <w:t xml:space="preserve">eventId</w:t>
            </w:r>
            <w:r>
              <w:rPr>
                <w:rFonts w:ascii="Arial" w:cs="Arial" w:eastAsia="Arial" w:hAnsi="Arial"/>
                <w:sz w:val="18"/>
                <w:szCs w:val="18"/>
              </w:rPr>
              <w:t xml:space="preserve">; compuesto entidad + fecha; tipo + fecha; TTL de retención configurable</w:t>
            </w:r>
          </w:p>
        </w:tc>
      </w:tr>
      <w:tr>
        <w:trPr>
          <w:cantSplit/>
        </w:trPr>
        <w:tc>
          <w:tcPr>
            <w:tcW w:type="dxa" w:w="189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comments</w:t>
            </w:r>
          </w:p>
        </w:tc>
        <w:tc>
          <w:tcPr>
            <w:tcW w:type="dxa" w:w="378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Notas con cliente, autor, canal, texto y fecha</w:t>
            </w:r>
          </w:p>
        </w:tc>
        <w:tc>
          <w:tcPr>
            <w:tcW w:type="dxa" w:w="4259"/>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Compuesto </w:t>
            </w:r>
            <w:r>
              <w:rPr>
                <w:rFonts w:ascii="Consolas" w:cs="Consolas" w:eastAsia="Consolas" w:hAnsi="Consolas"/>
                <w:color w:val="0F2A47"/>
                <w:sz w:val="18"/>
                <w:szCs w:val="18"/>
              </w:rPr>
              <w:t xml:space="preserve">clientId</w:t>
            </w:r>
            <w:r>
              <w:rPr>
                <w:rFonts w:ascii="Arial" w:cs="Arial" w:eastAsia="Arial" w:hAnsi="Arial"/>
                <w:sz w:val="18"/>
                <w:szCs w:val="18"/>
              </w:rPr>
              <w:t xml:space="preserve"> + fecha; validador de canal y longitud</w:t>
            </w:r>
          </w:p>
        </w:tc>
      </w:tr>
    </w:tbl>
    <w:p>
      <w:pPr>
        <w:spacing w:after="120"/>
      </w:pPr>
    </w:p>
    <w:p>
      <w:pPr>
        <w:spacing w:after="120" w:line="288"/>
      </w:pPr>
      <w:r>
        <w:rPr>
          <w:rFonts w:ascii="Arial" w:cs="Arial" w:eastAsia="Arial" w:hAnsi="Arial"/>
        </w:rPr>
        <w:t xml:space="preserve">Ambas colecciones se crean con un validador </w:t>
      </w:r>
      <w:r>
        <w:rPr>
          <w:rFonts w:ascii="Consolas" w:cs="Consolas" w:eastAsia="Consolas" w:hAnsi="Consolas"/>
          <w:color w:val="0F2A47"/>
          <w:sz w:val="19"/>
          <w:szCs w:val="19"/>
        </w:rPr>
        <w:t xml:space="preserve">$jsonSchema</w:t>
      </w:r>
      <w:r>
        <w:rPr>
          <w:rFonts w:ascii="Arial" w:cs="Arial" w:eastAsia="Arial" w:hAnsi="Arial"/>
        </w:rPr>
        <w:t xml:space="preserve"> que exige los campos comunes y sus tipos BSON (fechas como </w:t>
      </w:r>
      <w:r>
        <w:rPr>
          <w:rFonts w:ascii="Consolas" w:cs="Consolas" w:eastAsia="Consolas" w:hAnsi="Consolas"/>
          <w:color w:val="0F2A47"/>
          <w:sz w:val="19"/>
          <w:szCs w:val="19"/>
        </w:rPr>
        <w:t xml:space="preserve">date</w:t>
      </w:r>
      <w:r>
        <w:rPr>
          <w:rFonts w:ascii="Arial" w:cs="Arial" w:eastAsia="Arial" w:hAnsi="Arial"/>
        </w:rPr>
        <w:t xml:space="preserve">, IDs numéricos), sin restringir el contenido del payload.</w:t>
      </w:r>
    </w:p>
    <w:p>
      <w:pPr>
        <w:pStyle w:val="Heading2"/>
      </w:pPr>
      <w:r>
        <w:rPr>
          <w:rFonts w:ascii="Arial" w:cs="Arial" w:eastAsia="Arial" w:hAnsi="Arial"/>
        </w:rPr>
        <w:t xml:space="preserve">Agregaciones</w:t>
      </w:r>
    </w:p>
    <w:p>
      <w:pPr>
        <w:spacing w:after="120" w:line="288"/>
      </w:pPr>
      <w:r>
        <w:rPr>
          <w:rFonts w:ascii="Arial" w:cs="Arial" w:eastAsia="Arial" w:hAnsi="Arial"/>
        </w:rPr>
        <w:t xml:space="preserve">El endpoint </w:t>
      </w:r>
      <w:r>
        <w:rPr>
          <w:rFonts w:ascii="Consolas" w:cs="Consolas" w:eastAsia="Consolas" w:hAnsi="Consolas"/>
          <w:color w:val="0F2A47"/>
          <w:sz w:val="19"/>
          <w:szCs w:val="19"/>
        </w:rPr>
        <w:t xml:space="preserve">GET /api/v1/logs/summary</w:t>
      </w:r>
      <w:r>
        <w:rPr>
          <w:rFonts w:ascii="Arial" w:cs="Arial" w:eastAsia="Arial" w:hAnsi="Arial"/>
        </w:rPr>
        <w:t xml:space="preserve"> ejecuta un pipeline </w:t>
      </w:r>
      <w:r>
        <w:rPr>
          <w:rFonts w:ascii="Consolas" w:cs="Consolas" w:eastAsia="Consolas" w:hAnsi="Consolas"/>
          <w:color w:val="0F2A47"/>
          <w:sz w:val="19"/>
          <w:szCs w:val="19"/>
        </w:rPr>
        <w:t xml:space="preserve">$match</w:t>
      </w:r>
      <w:r>
        <w:rPr>
          <w:rFonts w:ascii="Arial" w:cs="Arial" w:eastAsia="Arial" w:hAnsi="Arial"/>
        </w:rPr>
        <w:t xml:space="preserve"> + </w:t>
      </w:r>
      <w:r>
        <w:rPr>
          <w:rFonts w:ascii="Consolas" w:cs="Consolas" w:eastAsia="Consolas" w:hAnsi="Consolas"/>
          <w:color w:val="0F2A47"/>
          <w:sz w:val="19"/>
          <w:szCs w:val="19"/>
        </w:rPr>
        <w:t xml:space="preserve">$facet</w:t>
      </w:r>
      <w:r>
        <w:rPr>
          <w:rFonts w:ascii="Arial" w:cs="Arial" w:eastAsia="Arial" w:hAnsi="Arial"/>
        </w:rPr>
        <w:t xml:space="preserve"> que, en una sola consulta, obtiene los eventos por tipo, la actividad de negocio por día y las métricas del API (total, errores y latencia media):</w:t>
      </w:r>
    </w:p>
    <w:p>
      <w:pPr>
        <w:shd w:fill="0B1E33" w:color="auto" w:val="clear"/>
        <w:spacing w:after="0" w:before="80" w:line="260"/>
        <w:ind w:left="120" w:right="120"/>
      </w:pPr>
      <w:r>
        <w:rPr>
          <w:rFonts w:ascii="Consolas" w:cs="Consolas" w:eastAsia="Consolas" w:hAnsi="Consolas"/>
          <w:color w:val="D5E3F0"/>
          <w:sz w:val="18"/>
          <w:szCs w:val="18"/>
        </w:rPr>
        <w:t xml:space="preserve">db.events.aggregate([</w:t>
      </w:r>
    </w:p>
    <w:p>
      <w:pPr>
        <w:shd w:fill="0B1E33" w:color="auto" w:val="clear"/>
        <w:spacing w:after="0" w:before="0" w:line="260"/>
        <w:ind w:left="120" w:right="120"/>
      </w:pPr>
      <w:r>
        <w:rPr>
          <w:rFonts w:ascii="Consolas" w:cs="Consolas" w:eastAsia="Consolas" w:hAnsi="Consolas"/>
          <w:color w:val="D5E3F0"/>
          <w:sz w:val="18"/>
          <w:szCs w:val="18"/>
        </w:rPr>
        <w:t xml:space="preserve">  { $match: { occurredAt: { $gte: desde } } },</w:t>
      </w:r>
    </w:p>
    <w:p>
      <w:pPr>
        <w:shd w:fill="0B1E33" w:color="auto" w:val="clear"/>
        <w:spacing w:after="0" w:before="0" w:line="260"/>
        <w:ind w:left="120" w:right="120"/>
      </w:pPr>
      <w:r>
        <w:rPr>
          <w:rFonts w:ascii="Consolas" w:cs="Consolas" w:eastAsia="Consolas" w:hAnsi="Consolas"/>
          <w:color w:val="D5E3F0"/>
          <w:sz w:val="18"/>
          <w:szCs w:val="18"/>
        </w:rPr>
        <w:t xml:space="preserve">  { $facet: {</w:t>
      </w:r>
    </w:p>
    <w:p>
      <w:pPr>
        <w:shd w:fill="0B1E33" w:color="auto" w:val="clear"/>
        <w:spacing w:after="0" w:before="0" w:line="260"/>
        <w:ind w:left="120" w:right="120"/>
      </w:pPr>
      <w:r>
        <w:rPr>
          <w:rFonts w:ascii="Consolas" w:cs="Consolas" w:eastAsia="Consolas" w:hAnsi="Consolas"/>
          <w:color w:val="D5E3F0"/>
          <w:sz w:val="18"/>
          <w:szCs w:val="18"/>
        </w:rPr>
        <w:t xml:space="preserve">      byType: [{ $group: { _id: "$eventType", count: { $sum: 1 } } }],</w:t>
      </w:r>
    </w:p>
    <w:p>
      <w:pPr>
        <w:shd w:fill="0B1E33" w:color="auto" w:val="clear"/>
        <w:spacing w:after="0" w:before="0" w:line="260"/>
        <w:ind w:left="120" w:right="120"/>
      </w:pPr>
      <w:r>
        <w:rPr>
          <w:rFonts w:ascii="Consolas" w:cs="Consolas" w:eastAsia="Consolas" w:hAnsi="Consolas"/>
          <w:color w:val="D5E3F0"/>
          <w:sz w:val="18"/>
          <w:szCs w:val="18"/>
        </w:rPr>
        <w:t xml:space="preserve">      byDay:  [{ $match: { eventType: { $ne: "http.request" } } },</w:t>
      </w:r>
    </w:p>
    <w:p>
      <w:pPr>
        <w:shd w:fill="0B1E33" w:color="auto" w:val="clear"/>
        <w:spacing w:after="0" w:before="0" w:line="260"/>
        <w:ind w:left="120" w:right="120"/>
      </w:pPr>
      <w:r>
        <w:rPr>
          <w:rFonts w:ascii="Consolas" w:cs="Consolas" w:eastAsia="Consolas" w:hAnsi="Consolas"/>
          <w:color w:val="D5E3F0"/>
          <w:sz w:val="18"/>
          <w:szCs w:val="18"/>
        </w:rPr>
        <w:t xml:space="preserve">               { $group: { _id: { $dateToString: { format: "%Y-%m-%d", date: "$occurredAt" } }, count: { $sum: 1 } } }],</w:t>
      </w:r>
    </w:p>
    <w:p>
      <w:pPr>
        <w:shd w:fill="0B1E33" w:color="auto" w:val="clear"/>
        <w:spacing w:after="0" w:before="0" w:line="260"/>
        <w:ind w:left="120" w:right="120"/>
      </w:pPr>
      <w:r>
        <w:rPr>
          <w:rFonts w:ascii="Consolas" w:cs="Consolas" w:eastAsia="Consolas" w:hAnsi="Consolas"/>
          <w:color w:val="D5E3F0"/>
          <w:sz w:val="18"/>
          <w:szCs w:val="18"/>
        </w:rPr>
        <w:t xml:space="preserve">      http:   [{ $match: { eventType: "http.request" } },</w:t>
      </w:r>
    </w:p>
    <w:p>
      <w:pPr>
        <w:shd w:fill="0B1E33" w:color="auto" w:val="clear"/>
        <w:spacing w:after="0" w:before="0" w:line="260"/>
        <w:ind w:left="120" w:right="120"/>
      </w:pPr>
      <w:r>
        <w:rPr>
          <w:rFonts w:ascii="Consolas" w:cs="Consolas" w:eastAsia="Consolas" w:hAnsi="Consolas"/>
          <w:color w:val="D5E3F0"/>
          <w:sz w:val="18"/>
          <w:szCs w:val="18"/>
        </w:rPr>
        <w:t xml:space="preserve">               { $group: { _id: null, total: { $sum: 1 }, avgDurationMs: { $avg: "$payload.durationMs" } } }]</w:t>
      </w:r>
    </w:p>
    <w:p>
      <w:pPr>
        <w:shd w:fill="0B1E33" w:color="auto" w:val="clear"/>
        <w:spacing w:after="0" w:before="0" w:line="260"/>
        <w:ind w:left="120" w:right="120"/>
      </w:pPr>
      <w:r>
        <w:rPr>
          <w:rFonts w:ascii="Consolas" w:cs="Consolas" w:eastAsia="Consolas" w:hAnsi="Consolas"/>
          <w:color w:val="D5E3F0"/>
          <w:sz w:val="18"/>
          <w:szCs w:val="18"/>
        </w:rPr>
        <w:t xml:space="preserve">  } }</w:t>
      </w:r>
    </w:p>
    <w:p>
      <w:pPr>
        <w:shd w:fill="0B1E33" w:color="auto" w:val="clear"/>
        <w:spacing w:after="160" w:before="0" w:line="260"/>
        <w:ind w:left="120" w:right="120"/>
      </w:pPr>
      <w:r>
        <w:rPr>
          <w:rFonts w:ascii="Consolas" w:cs="Consolas" w:eastAsia="Consolas" w:hAnsi="Consolas"/>
          <w:color w:val="D5E3F0"/>
          <w:sz w:val="18"/>
          <w:szCs w:val="18"/>
        </w:rPr>
        <w:t xml:space="preserve">])</w:t>
      </w:r>
    </w:p>
    <w:p>
      <w:pPr>
        <w:spacing w:after="120" w:line="288"/>
      </w:pPr>
      <w:r>
        <w:rPr>
          <w:rFonts w:ascii="Arial" w:cs="Arial" w:eastAsia="Arial" w:hAnsi="Arial"/>
        </w:rPr>
        <w:t xml:space="preserve">La vista Auditoría de la interfaz muestra este resumen en gráficos y permite filtrar los eventos por cliente y por tipo (negocio o HTTP).</w:t>
      </w:r>
    </w:p>
    <w:p>
      <w:pPr>
        <w:pStyle w:val="Heading1"/>
        <w:pageBreakBefore/>
      </w:pPr>
      <w:r>
        <w:rPr>
          <w:rFonts w:ascii="Arial" w:cs="Arial" w:eastAsia="Arial" w:hAnsi="Arial"/>
        </w:rPr>
        <w:t xml:space="preserve">6 Detección explicable del riesgo</w:t>
      </w:r>
    </w:p>
    <w:p>
      <w:pPr>
        <w:spacing w:after="120" w:line="288"/>
      </w:pPr>
      <w:r>
        <w:rPr>
          <w:rFonts w:ascii="Arial" w:cs="Arial" w:eastAsia="Arial" w:hAnsi="Arial"/>
        </w:rPr>
        <w:t xml:space="preserve">El algoritmo </w:t>
      </w:r>
      <w:r>
        <w:rPr>
          <w:rFonts w:ascii="Consolas" w:cs="Consolas" w:eastAsia="Consolas" w:hAnsi="Consolas"/>
          <w:color w:val="0F2A47"/>
          <w:sz w:val="19"/>
          <w:szCs w:val="19"/>
        </w:rPr>
        <w:t xml:space="preserve">reglas-v1</w:t>
      </w:r>
      <w:r>
        <w:rPr>
          <w:rFonts w:ascii="Arial" w:cs="Arial" w:eastAsia="Arial" w:hAnsi="Arial"/>
        </w:rPr>
        <w:t xml:space="preserve"> (</w:t>
      </w:r>
      <w:r>
        <w:rPr>
          <w:rFonts w:ascii="Consolas" w:cs="Consolas" w:eastAsia="Consolas" w:hAnsi="Consolas"/>
          <w:color w:val="0F2A47"/>
          <w:sz w:val="19"/>
          <w:szCs w:val="19"/>
        </w:rPr>
        <w:t xml:space="preserve">src/services/risk.js</w:t>
      </w:r>
      <w:r>
        <w:rPr>
          <w:rFonts w:ascii="Arial" w:cs="Arial" w:eastAsia="Arial" w:hAnsi="Arial"/>
        </w:rPr>
        <w:t xml:space="preserve">) suma cinco señales con topes individuales. La ventana de historial reciente es de 30 días en UTC, incluye su límite exacto y descarta fechas futuras. Las incidencias pendientes anteriores a esa ventana siguen contando como pendientes y para el SLA.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6624"/>
        <w:gridCol w:w="1325"/>
      </w:tblGrid>
      <w:tr>
        <w:trPr>
          <w:tblHeader/>
        </w:trPr>
        <w:tc>
          <w:tcPr>
            <w:tcW w:type="dxa" w:w="1987"/>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Factor</w:t>
            </w:r>
          </w:p>
        </w:tc>
        <w:tc>
          <w:tcPr>
            <w:tcW w:type="dxa" w:w="6624"/>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Regla aplicada</w:t>
            </w:r>
          </w:p>
        </w:tc>
        <w:tc>
          <w:tcPr>
            <w:tcW w:type="dxa" w:w="1325"/>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Máximo</w:t>
            </w:r>
          </w:p>
        </w:tc>
      </w:tr>
      <w:tr>
        <w:trPr>
          <w:cantSplit/>
        </w:trPr>
        <w:tc>
          <w:tcPr>
            <w:tcW w:type="dxa" w:w="198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Satisfacción</w:t>
            </w:r>
          </w:p>
        </w:tc>
        <w:tc>
          <w:tcPr>
            <w:tcW w:type="dxa" w:w="66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Última calificación reciente: 1 o 2 suma 25; 3 suma 10; 4 o 5 suma 0</w:t>
            </w:r>
          </w:p>
        </w:tc>
        <w:tc>
          <w:tcPr>
            <w:tcW w:type="dxa" w:w="132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25</w:t>
            </w:r>
          </w:p>
        </w:tc>
      </w:tr>
      <w:tr>
        <w:trPr>
          <w:cantSplit/>
        </w:trPr>
        <w:tc>
          <w:tcPr>
            <w:tcW w:type="dxa" w:w="1987"/>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Pendientes</w:t>
            </w:r>
          </w:p>
        </w:tc>
        <w:tc>
          <w:tcPr>
            <w:tcW w:type="dxa" w:w="662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10 por cada incidencia abierta o en proceso</w:t>
            </w:r>
          </w:p>
        </w:tc>
        <w:tc>
          <w:tcPr>
            <w:tcW w:type="dxa" w:w="132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30</w:t>
            </w:r>
          </w:p>
        </w:tc>
      </w:tr>
      <w:tr>
        <w:trPr>
          <w:cantSplit/>
        </w:trPr>
        <w:tc>
          <w:tcPr>
            <w:tcW w:type="dxa" w:w="198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Repetición</w:t>
            </w:r>
          </w:p>
        </w:tc>
        <w:tc>
          <w:tcPr>
            <w:tcW w:type="dxa" w:w="66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10 por cada incidencia reciente adicional desde la segunda</w:t>
            </w:r>
          </w:p>
        </w:tc>
        <w:tc>
          <w:tcPr>
            <w:tcW w:type="dxa" w:w="132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20</w:t>
            </w:r>
          </w:p>
        </w:tc>
      </w:tr>
      <w:tr>
        <w:trPr>
          <w:cantSplit/>
        </w:trPr>
        <w:tc>
          <w:tcPr>
            <w:tcW w:type="dxa" w:w="1987"/>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Gravedad</w:t>
            </w:r>
          </w:p>
        </w:tc>
        <w:tc>
          <w:tcPr>
            <w:tcW w:type="dxa" w:w="662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15 si existe una incidencia reciente de gravedad 3</w:t>
            </w:r>
          </w:p>
        </w:tc>
        <w:tc>
          <w:tcPr>
            <w:tcW w:type="dxa" w:w="132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15</w:t>
            </w:r>
          </w:p>
        </w:tc>
      </w:tr>
      <w:tr>
        <w:trPr>
          <w:cantSplit/>
        </w:trPr>
        <w:tc>
          <w:tcPr>
            <w:tcW w:type="dxa" w:w="1987"/>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SLA vencido</w:t>
            </w:r>
          </w:p>
        </w:tc>
        <w:tc>
          <w:tcPr>
            <w:tcW w:type="dxa" w:w="66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10 si un pendiente supera las horas de su servicio</w:t>
            </w:r>
          </w:p>
        </w:tc>
        <w:tc>
          <w:tcPr>
            <w:tcW w:type="dxa" w:w="132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10</w:t>
            </w:r>
          </w:p>
        </w:tc>
      </w:tr>
      <w:tr>
        <w:trPr>
          <w:cantSplit/>
        </w:trPr>
        <w:tc>
          <w:tcPr>
            <w:tcW w:type="dxa" w:w="1987"/>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b/>
                <w:bCs/>
                <w:sz w:val="18"/>
                <w:szCs w:val="18"/>
              </w:rPr>
              <w:t xml:space="preserve">Total</w:t>
            </w:r>
          </w:p>
        </w:tc>
        <w:tc>
          <w:tcPr>
            <w:tcW w:type="dxa" w:w="662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Suma de los cinco factores</w:t>
            </w:r>
          </w:p>
        </w:tc>
        <w:tc>
          <w:tcPr>
            <w:tcW w:type="dxa" w:w="132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b/>
                <w:bCs/>
                <w:sz w:val="18"/>
                <w:szCs w:val="18"/>
              </w:rPr>
              <w:t xml:space="preserve">100</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45"/>
        <w:gridCol w:w="1766"/>
        <w:gridCol w:w="6625"/>
      </w:tblGrid>
      <w:tr>
        <w:trPr>
          <w:tblHeader/>
        </w:trPr>
        <w:tc>
          <w:tcPr>
            <w:tcW w:type="dxa" w:w="1545"/>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Nivel</w:t>
            </w:r>
          </w:p>
        </w:tc>
        <w:tc>
          <w:tcPr>
            <w:tcW w:type="dxa" w:w="1766"/>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Intervalo</w:t>
            </w:r>
          </w:p>
        </w:tc>
        <w:tc>
          <w:tcPr>
            <w:tcW w:type="dxa" w:w="6625"/>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Respuesta recomendada</w:t>
            </w:r>
          </w:p>
        </w:tc>
      </w:tr>
      <w:tr>
        <w:trPr>
          <w:cantSplit/>
        </w:trPr>
        <w:tc>
          <w:tcPr>
            <w:tcW w:type="dxa" w:w="154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Bajo</w:t>
            </w:r>
          </w:p>
        </w:tc>
        <w:tc>
          <w:tcPr>
            <w:tcW w:type="dxa" w:w="176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0 a 39</w:t>
            </w:r>
          </w:p>
        </w:tc>
        <w:tc>
          <w:tcPr>
            <w:tcW w:type="dxa" w:w="662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Mantener la atención y observar nuevas incidencias</w:t>
            </w:r>
          </w:p>
        </w:tc>
      </w:tr>
      <w:tr>
        <w:trPr>
          <w:cantSplit/>
        </w:trPr>
        <w:tc>
          <w:tcPr>
            <w:tcW w:type="dxa" w:w="154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Medio</w:t>
            </w:r>
          </w:p>
        </w:tc>
        <w:tc>
          <w:tcPr>
            <w:tcW w:type="dxa" w:w="1766"/>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40 a 69</w:t>
            </w:r>
          </w:p>
        </w:tc>
        <w:tc>
          <w:tcPr>
            <w:tcW w:type="dxa" w:w="662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Asignar seguimiento y revisar la causa del reclamo</w:t>
            </w:r>
          </w:p>
        </w:tc>
      </w:tr>
      <w:tr>
        <w:trPr>
          <w:cantSplit/>
        </w:trPr>
        <w:tc>
          <w:tcPr>
            <w:tcW w:type="dxa" w:w="154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Alto</w:t>
            </w:r>
          </w:p>
        </w:tc>
        <w:tc>
          <w:tcPr>
            <w:tcW w:type="dxa" w:w="1766"/>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70 a 100</w:t>
            </w:r>
          </w:p>
        </w:tc>
        <w:tc>
          <w:tcPr>
            <w:tcW w:type="dxa" w:w="662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Priorizar contacto personal y resolver las incidencias pendientes</w:t>
            </w:r>
          </w:p>
        </w:tc>
      </w:tr>
    </w:tbl>
    <w:p>
      <w:pPr>
        <w:spacing w:after="120"/>
      </w:pPr>
    </w:p>
    <w:p>
      <w:pPr>
        <w:pStyle w:val="Heading2"/>
      </w:pPr>
      <w:r>
        <w:rPr>
          <w:rFonts w:ascii="Arial" w:cs="Arial" w:eastAsia="Arial" w:hAnsi="Arial"/>
        </w:rPr>
        <w:t xml:space="preserve">Ejemplo verificable</w:t>
      </w:r>
    </w:p>
    <w:p>
      <w:pPr>
        <w:spacing w:after="120" w:line="288"/>
      </w:pPr>
      <w:r>
        <w:rPr>
          <w:rFonts w:ascii="Arial" w:cs="Arial" w:eastAsia="Arial" w:hAnsi="Arial"/>
        </w:rPr>
        <w:t xml:space="preserve">Un cliente sin historial comienza en 0. Si se registra una primera incidencia grave, calificada con 1 y dentro del SLA, obtiene </w:t>
      </w:r>
      <w:r>
        <w:rPr>
          <w:rFonts w:ascii="Arial" w:cs="Arial" w:eastAsia="Arial" w:hAnsi="Arial"/>
          <w:b/>
          <w:bCs/>
        </w:rPr>
        <w:t xml:space="preserve">50</w:t>
      </w:r>
      <w:r>
        <w:rPr>
          <w:rFonts w:ascii="Arial" w:cs="Arial" w:eastAsia="Arial" w:hAnsi="Arial"/>
        </w:rPr>
        <w:t xml:space="preserve">: 25 por satisfacción, 10 por pendiente y 15 por gravedad. Al resolverla baja a </w:t>
      </w:r>
      <w:r>
        <w:rPr>
          <w:rFonts w:ascii="Arial" w:cs="Arial" w:eastAsia="Arial" w:hAnsi="Arial"/>
          <w:b/>
          <w:bCs/>
        </w:rPr>
        <w:t xml:space="preserve">40</w:t>
      </w:r>
      <w:r>
        <w:rPr>
          <w:rFonts w:ascii="Arial" w:cs="Arial" w:eastAsia="Arial" w:hAnsi="Arial"/>
        </w:rPr>
        <w:t xml:space="preserve">: desaparecen los 10 puntos de pendiente, pero se conserva la experiencia reciente. Un cliente con tres pendientes recientes, satisfacción 1, un caso grave y SLA vencido alcanza </w:t>
      </w:r>
      <w:r>
        <w:rPr>
          <w:rFonts w:ascii="Arial" w:cs="Arial" w:eastAsia="Arial" w:hAnsi="Arial"/>
          <w:b/>
          <w:bCs/>
        </w:rPr>
        <w:t xml:space="preserve">100</w:t>
      </w:r>
      <w:r>
        <w:rPr>
          <w:rFonts w:ascii="Arial" w:cs="Arial" w:eastAsia="Arial" w:hAnsi="Arial"/>
        </w:rPr>
        <w:t xml:space="preserve">. Este recorrido se comprobó en la interfaz y en las pruebas automáticas.</w:t>
      </w:r>
    </w:p>
    <w:p>
      <w:pPr>
        <w:pStyle w:val="Heading2"/>
      </w:pPr>
      <w:r>
        <w:rPr>
          <w:rFonts w:ascii="Arial" w:cs="Arial" w:eastAsia="Arial" w:hAnsi="Arial"/>
        </w:rPr>
        <w:t xml:space="preserve">Cómo se ve en la interfaz</w:t>
      </w:r>
    </w:p>
    <w:p>
      <w:pPr>
        <w:spacing w:after="120" w:line="288"/>
      </w:pPr>
      <w:r>
        <w:rPr>
          <w:rFonts w:ascii="Arial" w:cs="Arial" w:eastAsia="Arial" w:hAnsi="Arial"/>
        </w:rPr>
        <w:t xml:space="preserve">Cada cliente muestra una barra de cinco colores, uno por factor; su longitud total es el puntaje. En la ficha del cliente cada factor aparece con su explicación (por ejemplo, "3 sin resolver; 10 puntos por incidencia"). El panel principal agrega cuántos puntos aporta cada factor en toda la cartera en riesgo.</w:t>
      </w:r>
    </w:p>
    <w:p>
      <w:pPr>
        <w:pStyle w:val="Heading2"/>
      </w:pPr>
      <w:r>
        <w:rPr>
          <w:rFonts w:ascii="Arial" w:cs="Arial" w:eastAsia="Arial" w:hAnsi="Arial"/>
        </w:rPr>
        <w:t xml:space="preserve">Interpretación</w:t>
      </w:r>
    </w:p>
    <w:p>
      <w:pPr>
        <w:spacing w:after="120" w:line="288"/>
      </w:pPr>
      <w:r>
        <w:rPr>
          <w:rFonts w:ascii="Arial" w:cs="Arial" w:eastAsia="Arial" w:hAnsi="Arial"/>
        </w:rPr>
        <w:t xml:space="preserve">Un valor de 80 significa 80 puntos de prioridad, no un 80 % de probabilidad de abandono. Registrar que un cliente fue "recuperado" documenta el resultado, pero no altera artificialmente el puntaje. Antes de usar estas reglas en decisiones comerciales reales, los pesos y umbrales deben contrastarse con datos históricos.</w:t>
      </w:r>
    </w:p>
    <w:p>
      <w:pPr>
        <w:pStyle w:val="Heading1"/>
        <w:pageBreakBefore/>
      </w:pPr>
      <w:r>
        <w:rPr>
          <w:rFonts w:ascii="Arial" w:cs="Arial" w:eastAsia="Arial" w:hAnsi="Arial"/>
        </w:rPr>
        <w:t xml:space="preserve">7 Contrato REST y control de acceso</w:t>
      </w:r>
    </w:p>
    <w:p>
      <w:pPr>
        <w:spacing w:after="120" w:line="288"/>
      </w:pPr>
      <w:r>
        <w:rPr>
          <w:rFonts w:ascii="Arial" w:cs="Arial" w:eastAsia="Arial" w:hAnsi="Arial"/>
        </w:rPr>
        <w:t xml:space="preserve">La base del API es </w:t>
      </w:r>
      <w:r>
        <w:rPr>
          <w:rFonts w:ascii="Consolas" w:cs="Consolas" w:eastAsia="Consolas" w:hAnsi="Consolas"/>
          <w:color w:val="0F2A47"/>
          <w:sz w:val="19"/>
          <w:szCs w:val="19"/>
        </w:rPr>
        <w:t xml:space="preserve">http://localhost:3000/api/v1</w:t>
      </w:r>
      <w:r>
        <w:rPr>
          <w:rFonts w:ascii="Arial" w:cs="Arial" w:eastAsia="Arial" w:hAnsi="Arial"/>
        </w:rPr>
        <w:t xml:space="preserve"> (versionada); también responde en </w:t>
      </w:r>
      <w:r>
        <w:rPr>
          <w:rFonts w:ascii="Consolas" w:cs="Consolas" w:eastAsia="Consolas" w:hAnsi="Consolas"/>
          <w:color w:val="0F2A47"/>
          <w:sz w:val="19"/>
          <w:szCs w:val="19"/>
        </w:rPr>
        <w:t xml:space="preserve">/api</w:t>
      </w:r>
      <w:r>
        <w:rPr>
          <w:rFonts w:ascii="Arial" w:cs="Arial" w:eastAsia="Arial" w:hAnsi="Arial"/>
        </w:rPr>
        <w:t xml:space="preserve">. La referencia interactiva está en </w:t>
      </w:r>
      <w:r>
        <w:rPr>
          <w:rFonts w:ascii="Consolas" w:cs="Consolas" w:eastAsia="Consolas" w:hAnsi="Consolas"/>
          <w:color w:val="0F2A47"/>
          <w:sz w:val="19"/>
          <w:szCs w:val="19"/>
        </w:rPr>
        <w:t xml:space="preserve">/api/docs</w:t>
      </w:r>
      <w:r>
        <w:rPr>
          <w:rFonts w:ascii="Arial" w:cs="Arial" w:eastAsia="Arial" w:hAnsi="Arial"/>
        </w:rPr>
        <w:t xml:space="preserve"> y la especificación en </w:t>
      </w:r>
      <w:r>
        <w:rPr>
          <w:rFonts w:ascii="Consolas" w:cs="Consolas" w:eastAsia="Consolas" w:hAnsi="Consolas"/>
          <w:color w:val="0F2A47"/>
          <w:sz w:val="19"/>
          <w:szCs w:val="19"/>
        </w:rPr>
        <w:t xml:space="preserve">/api/openapi.json</w:t>
      </w:r>
      <w:r>
        <w:rPr>
          <w:rFonts w:ascii="Arial" w:cs="Arial" w:eastAsia="Arial" w:hAnsi="Arial"/>
        </w:rPr>
        <w:t xml:space="preserve">. Login, salud y documentación son públicos; los demás recursos exigen </w:t>
      </w:r>
      <w:r>
        <w:rPr>
          <w:rFonts w:ascii="Consolas" w:cs="Consolas" w:eastAsia="Consolas" w:hAnsi="Consolas"/>
          <w:color w:val="0F2A47"/>
          <w:sz w:val="19"/>
          <w:szCs w:val="19"/>
        </w:rPr>
        <w:t xml:space="preserve">Authorization: Bearer &lt;JWT&gt;</w:t>
      </w:r>
      <w:r>
        <w:rPr>
          <w:rFonts w:ascii="Arial" w:cs="Arial" w:eastAsia="Arial" w:hAnsi="Arial"/>
        </w:rP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24"/>
        <w:gridCol w:w="2592"/>
        <w:gridCol w:w="4320"/>
      </w:tblGrid>
      <w:tr>
        <w:trPr>
          <w:tblHeader/>
        </w:trPr>
        <w:tc>
          <w:tcPr>
            <w:tcW w:type="dxa" w:w="3024"/>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Recurso</w:t>
            </w:r>
          </w:p>
        </w:tc>
        <w:tc>
          <w:tcPr>
            <w:tcW w:type="dxa" w:w="2592"/>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Operaciones</w:t>
            </w:r>
          </w:p>
        </w:tc>
        <w:tc>
          <w:tcPr>
            <w:tcW w:type="dxa" w:w="4320"/>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Finalidad</w:t>
            </w:r>
          </w:p>
        </w:tc>
      </w:tr>
      <w:tr>
        <w:trPr>
          <w:cantSplit/>
        </w:trPr>
        <w:tc>
          <w:tcPr>
            <w:tcW w:type="dxa" w:w="30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/auth/login</w:t>
            </w:r>
          </w:p>
        </w:tc>
        <w:tc>
          <w:tcPr>
            <w:tcW w:type="dxa" w:w="259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POST</w:t>
            </w:r>
          </w:p>
        </w:tc>
        <w:tc>
          <w:tcPr>
            <w:tcW w:type="dxa" w:w="432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Obtener el JWT (20 intentos cada 15 min)</w:t>
            </w:r>
          </w:p>
        </w:tc>
      </w:tr>
      <w:tr>
        <w:trPr>
          <w:cantSplit/>
        </w:trPr>
        <w:tc>
          <w:tcPr>
            <w:tcW w:type="dxa" w:w="302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/users, /users/:id</w:t>
            </w:r>
          </w:p>
        </w:tc>
        <w:tc>
          <w:tcPr>
            <w:tcW w:type="dxa" w:w="259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GET, POST, PATCH</w:t>
            </w:r>
          </w:p>
        </w:tc>
        <w:tc>
          <w:tcPr>
            <w:tcW w:type="dxa" w:w="432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Equipo, rol y habilitación de acceso</w:t>
            </w:r>
          </w:p>
        </w:tc>
      </w:tr>
      <w:tr>
        <w:trPr>
          <w:cantSplit/>
        </w:trPr>
        <w:tc>
          <w:tcPr>
            <w:tcW w:type="dxa" w:w="30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/services, /services/:id</w:t>
            </w:r>
          </w:p>
        </w:tc>
        <w:tc>
          <w:tcPr>
            <w:tcW w:type="dxa" w:w="259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GET, POST, PATCH</w:t>
            </w:r>
          </w:p>
        </w:tc>
        <w:tc>
          <w:tcPr>
            <w:tcW w:type="dxa" w:w="432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Servicios y plazo SLA</w:t>
            </w:r>
          </w:p>
        </w:tc>
      </w:tr>
      <w:tr>
        <w:trPr>
          <w:cantSplit/>
        </w:trPr>
        <w:tc>
          <w:tcPr>
            <w:tcW w:type="dxa" w:w="302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/clients, /clients/:id</w:t>
            </w:r>
          </w:p>
        </w:tc>
        <w:tc>
          <w:tcPr>
            <w:tcW w:type="dxa" w:w="259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GET, POST, PATCH, DELETE</w:t>
            </w:r>
          </w:p>
        </w:tc>
        <w:tc>
          <w:tcPr>
            <w:tcW w:type="dxa" w:w="432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Clientes con riesgo; DELETE archiva</w:t>
            </w:r>
          </w:p>
        </w:tc>
      </w:tr>
      <w:tr>
        <w:trPr>
          <w:cantSplit/>
        </w:trPr>
        <w:tc>
          <w:tcPr>
            <w:tcW w:type="dxa" w:w="30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/clients/:id/risk</w:t>
            </w:r>
          </w:p>
        </w:tc>
        <w:tc>
          <w:tcPr>
            <w:tcW w:type="dxa" w:w="259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GET</w:t>
            </w:r>
          </w:p>
        </w:tc>
        <w:tc>
          <w:tcPr>
            <w:tcW w:type="dxa" w:w="432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Puntaje, factores y recomendación</w:t>
            </w:r>
          </w:p>
        </w:tc>
      </w:tr>
      <w:tr>
        <w:trPr>
          <w:cantSplit/>
        </w:trPr>
        <w:tc>
          <w:tcPr>
            <w:tcW w:type="dxa" w:w="302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/clients/:id/comments</w:t>
            </w:r>
          </w:p>
        </w:tc>
        <w:tc>
          <w:tcPr>
            <w:tcW w:type="dxa" w:w="259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GET, POST</w:t>
            </w:r>
          </w:p>
        </w:tc>
        <w:tc>
          <w:tcPr>
            <w:tcW w:type="dxa" w:w="432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Notas en MongoDB</w:t>
            </w:r>
          </w:p>
        </w:tc>
      </w:tr>
      <w:tr>
        <w:trPr>
          <w:cantSplit/>
        </w:trPr>
        <w:tc>
          <w:tcPr>
            <w:tcW w:type="dxa" w:w="30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/incidents, /incidents/:id</w:t>
            </w:r>
          </w:p>
        </w:tc>
        <w:tc>
          <w:tcPr>
            <w:tcW w:type="dxa" w:w="259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GET, POST, PATCH</w:t>
            </w:r>
          </w:p>
        </w:tc>
        <w:tc>
          <w:tcPr>
            <w:tcW w:type="dxa" w:w="432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Registrar casos y cambiar estado con versión</w:t>
            </w:r>
          </w:p>
        </w:tc>
      </w:tr>
      <w:tr>
        <w:trPr>
          <w:cantSplit/>
        </w:trPr>
        <w:tc>
          <w:tcPr>
            <w:tcW w:type="dxa" w:w="302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/retention-actions</w:t>
            </w:r>
          </w:p>
        </w:tc>
        <w:tc>
          <w:tcPr>
            <w:tcW w:type="dxa" w:w="259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GET, POST, PATCH</w:t>
            </w:r>
          </w:p>
        </w:tc>
        <w:tc>
          <w:tcPr>
            <w:tcW w:type="dxa" w:w="432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Asignar seguimiento y registrar resultado</w:t>
            </w:r>
          </w:p>
        </w:tc>
      </w:tr>
      <w:tr>
        <w:trPr>
          <w:cantSplit/>
        </w:trPr>
        <w:tc>
          <w:tcPr>
            <w:tcW w:type="dxa" w:w="30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/dashboard, /alerts</w:t>
            </w:r>
          </w:p>
        </w:tc>
        <w:tc>
          <w:tcPr>
            <w:tcW w:type="dxa" w:w="259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GET</w:t>
            </w:r>
          </w:p>
        </w:tc>
        <w:tc>
          <w:tcPr>
            <w:tcW w:type="dxa" w:w="432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Indicadores, tendencia y prioridad</w:t>
            </w:r>
          </w:p>
        </w:tc>
      </w:tr>
      <w:tr>
        <w:trPr>
          <w:cantSplit/>
        </w:trPr>
        <w:tc>
          <w:tcPr>
            <w:tcW w:type="dxa" w:w="302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/logs, /logs/summary</w:t>
            </w:r>
          </w:p>
        </w:tc>
        <w:tc>
          <w:tcPr>
            <w:tcW w:type="dxa" w:w="259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GET</w:t>
            </w:r>
          </w:p>
        </w:tc>
        <w:tc>
          <w:tcPr>
            <w:tcW w:type="dxa" w:w="4320"/>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Auditoría y agregación MongoDB</w:t>
            </w:r>
          </w:p>
        </w:tc>
      </w:tr>
      <w:tr>
        <w:trPr>
          <w:cantSplit/>
        </w:trPr>
        <w:tc>
          <w:tcPr>
            <w:tcW w:type="dxa" w:w="302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/reports/clients.csv</w:t>
            </w:r>
          </w:p>
        </w:tc>
        <w:tc>
          <w:tcPr>
            <w:tcW w:type="dxa" w:w="259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GET</w:t>
            </w:r>
          </w:p>
        </w:tc>
        <w:tc>
          <w:tcPr>
            <w:tcW w:type="dxa" w:w="4320"/>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Exportación del riesgo a CSV</w:t>
            </w:r>
          </w:p>
        </w:tc>
      </w:tr>
    </w:tbl>
    <w:p>
      <w:pPr>
        <w:spacing w:after="120"/>
      </w:pPr>
    </w:p>
    <w:p>
      <w:pPr>
        <w:pStyle w:val="Heading2"/>
      </w:pPr>
      <w:r>
        <w:rPr>
          <w:rFonts w:ascii="Arial" w:cs="Arial" w:eastAsia="Arial" w:hAnsi="Arial"/>
        </w:rPr>
        <w:t xml:space="preserve">Códigos de estado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7452"/>
      </w:tblGrid>
      <w:tr>
        <w:trPr>
          <w:tblHeader/>
        </w:trPr>
        <w:tc>
          <w:tcPr>
            <w:tcW w:type="dxa" w:w="2484"/>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Código</w:t>
            </w:r>
          </w:p>
        </w:tc>
        <w:tc>
          <w:tcPr>
            <w:tcW w:type="dxa" w:w="7452"/>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Significado en FugaCliente</w:t>
            </w:r>
          </w:p>
        </w:tc>
      </w:tr>
      <w:tr>
        <w:trPr>
          <w:cantSplit/>
        </w:trPr>
        <w:tc>
          <w:tcPr>
            <w:tcW w:type="dxa" w:w="248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200 / 201 / 204</w:t>
            </w:r>
          </w:p>
        </w:tc>
        <w:tc>
          <w:tcPr>
            <w:tcW w:type="dxa" w:w="745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Consulta o actualización / creación con </w:t>
            </w:r>
            <w:r>
              <w:rPr>
                <w:rFonts w:ascii="Consolas" w:cs="Consolas" w:eastAsia="Consolas" w:hAnsi="Consolas"/>
                <w:color w:val="0F2A47"/>
                <w:sz w:val="18"/>
                <w:szCs w:val="18"/>
              </w:rPr>
              <w:t xml:space="preserve">Location</w:t>
            </w:r>
            <w:r>
              <w:rPr>
                <w:rFonts w:ascii="Arial" w:cs="Arial" w:eastAsia="Arial" w:hAnsi="Arial"/>
                <w:sz w:val="18"/>
                <w:szCs w:val="18"/>
              </w:rPr>
              <w:t xml:space="preserve"> / archivo sin cuerpo</w:t>
            </w:r>
          </w:p>
        </w:tc>
      </w:tr>
      <w:tr>
        <w:trPr>
          <w:cantSplit/>
        </w:trPr>
        <w:tc>
          <w:tcPr>
            <w:tcW w:type="dxa" w:w="248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400</w:t>
            </w:r>
          </w:p>
        </w:tc>
        <w:tc>
          <w:tcPr>
            <w:tcW w:type="dxa" w:w="745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Entrada inválida o campos no permitidos (detalle por campo)</w:t>
            </w:r>
          </w:p>
        </w:tc>
      </w:tr>
      <w:tr>
        <w:trPr>
          <w:cantSplit/>
        </w:trPr>
        <w:tc>
          <w:tcPr>
            <w:tcW w:type="dxa" w:w="248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401 / 403</w:t>
            </w:r>
          </w:p>
        </w:tc>
        <w:tc>
          <w:tcPr>
            <w:tcW w:type="dxa" w:w="745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Sesión ausente, expirada o usuario deshabilitado / rol sin permiso</w:t>
            </w:r>
          </w:p>
        </w:tc>
      </w:tr>
      <w:tr>
        <w:trPr>
          <w:cantSplit/>
        </w:trPr>
        <w:tc>
          <w:tcPr>
            <w:tcW w:type="dxa" w:w="248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404</w:t>
            </w:r>
          </w:p>
        </w:tc>
        <w:tc>
          <w:tcPr>
            <w:tcW w:type="dxa" w:w="745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Recurso inexistente</w:t>
            </w:r>
          </w:p>
        </w:tc>
      </w:tr>
      <w:tr>
        <w:trPr>
          <w:cantSplit/>
        </w:trPr>
        <w:tc>
          <w:tcPr>
            <w:tcW w:type="dxa" w:w="248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409</w:t>
            </w:r>
          </w:p>
        </w:tc>
        <w:tc>
          <w:tcPr>
            <w:tcW w:type="dxa" w:w="745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Duplicado, relación incorrecta, transición no permitida o versión obsoleta</w:t>
            </w:r>
          </w:p>
        </w:tc>
      </w:tr>
      <w:tr>
        <w:trPr>
          <w:cantSplit/>
        </w:trPr>
        <w:tc>
          <w:tcPr>
            <w:tcW w:type="dxa" w:w="248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429 / 503</w:t>
            </w:r>
          </w:p>
        </w:tc>
        <w:tc>
          <w:tcPr>
            <w:tcW w:type="dxa" w:w="745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Demasiadas solicitudes / base de datos no disponible en salud</w:t>
            </w:r>
          </w:p>
        </w:tc>
      </w:tr>
    </w:tbl>
    <w:p>
      <w:pPr>
        <w:spacing w:after="120"/>
      </w:pPr>
    </w:p>
    <w:p>
      <w:pPr>
        <w:spacing w:after="120" w:line="288"/>
      </w:pPr>
      <w:r>
        <w:rPr>
          <w:rFonts w:ascii="Arial" w:cs="Arial" w:eastAsia="Arial" w:hAnsi="Arial"/>
        </w:rPr>
        <w:t xml:space="preserve">Todos los errores usan el mismo formato </w:t>
      </w:r>
      <w:r>
        <w:rPr>
          <w:rFonts w:ascii="Consolas" w:cs="Consolas" w:eastAsia="Consolas" w:hAnsi="Consolas"/>
          <w:color w:val="0F2A47"/>
          <w:sz w:val="19"/>
          <w:szCs w:val="19"/>
        </w:rPr>
        <w:t xml:space="preserve">{ error: { code, message, requestId, details } }</w:t>
      </w:r>
      <w:r>
        <w:rPr>
          <w:rFonts w:ascii="Arial" w:cs="Arial" w:eastAsia="Arial" w:hAnsi="Arial"/>
        </w:rPr>
        <w:t xml:space="preserve">. Los listados admiten </w:t>
      </w:r>
      <w:r>
        <w:rPr>
          <w:rFonts w:ascii="Consolas" w:cs="Consolas" w:eastAsia="Consolas" w:hAnsi="Consolas"/>
          <w:color w:val="0F2A47"/>
          <w:sz w:val="19"/>
          <w:szCs w:val="19"/>
        </w:rPr>
        <w:t xml:space="preserve">page</w:t>
      </w:r>
      <w:r>
        <w:rPr>
          <w:rFonts w:ascii="Arial" w:cs="Arial" w:eastAsia="Arial" w:hAnsi="Arial"/>
        </w:rPr>
        <w:t xml:space="preserve"> desde 1 y </w:t>
      </w:r>
      <w:r>
        <w:rPr>
          <w:rFonts w:ascii="Consolas" w:cs="Consolas" w:eastAsia="Consolas" w:hAnsi="Consolas"/>
          <w:color w:val="0F2A47"/>
          <w:sz w:val="19"/>
          <w:szCs w:val="19"/>
        </w:rPr>
        <w:t xml:space="preserve">limit</w:t>
      </w:r>
      <w:r>
        <w:rPr>
          <w:rFonts w:ascii="Arial" w:cs="Arial" w:eastAsia="Arial" w:hAnsi="Arial"/>
        </w:rPr>
        <w:t xml:space="preserve"> hasta 100, y devuelven </w:t>
      </w:r>
      <w:r>
        <w:rPr>
          <w:rFonts w:ascii="Consolas" w:cs="Consolas" w:eastAsia="Consolas" w:hAnsi="Consolas"/>
          <w:color w:val="0F2A47"/>
          <w:sz w:val="19"/>
          <w:szCs w:val="19"/>
        </w:rPr>
        <w:t xml:space="preserve">data</w:t>
      </w:r>
      <w:r>
        <w:rPr>
          <w:rFonts w:ascii="Arial" w:cs="Arial" w:eastAsia="Arial" w:hAnsi="Arial"/>
        </w:rPr>
        <w:t xml:space="preserve"> y </w:t>
      </w:r>
      <w:r>
        <w:rPr>
          <w:rFonts w:ascii="Consolas" w:cs="Consolas" w:eastAsia="Consolas" w:hAnsi="Consolas"/>
          <w:color w:val="0F2A47"/>
          <w:sz w:val="19"/>
          <w:szCs w:val="19"/>
        </w:rPr>
        <w:t xml:space="preserve">pagination</w:t>
      </w:r>
      <w:r>
        <w:rPr>
          <w:rFonts w:ascii="Arial" w:cs="Arial" w:eastAsia="Arial" w:hAnsi="Arial"/>
        </w:rPr>
        <w:t xml:space="preserve">. Recursos con sustantivos, verbos HTTP con su semántica y códigos de estado correctos implementan el </w:t>
      </w:r>
      <w:r>
        <w:rPr>
          <w:rFonts w:ascii="Arial" w:cs="Arial" w:eastAsia="Arial" w:hAnsi="Arial"/>
          <w:b/>
          <w:bCs/>
        </w:rPr>
        <w:t xml:space="preserve">nivel 2 del modelo de madurez de Richardson</w:t>
      </w:r>
      <w:r>
        <w:rPr>
          <w:rFonts w:ascii="Arial" w:cs="Arial" w:eastAsia="Arial" w:hAnsi="Arial"/>
        </w:rPr>
        <w:t xml:space="preserve">.</w:t>
      </w:r>
    </w:p>
    <w:p>
      <w:pPr>
        <w:pStyle w:val="Heading2"/>
      </w:pPr>
      <w:r>
        <w:rPr>
          <w:rFonts w:ascii="Arial" w:cs="Arial" w:eastAsia="Arial" w:hAnsi="Arial"/>
        </w:rPr>
        <w:t xml:space="preserve">Permisos por rol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382"/>
        <w:gridCol w:w="1655"/>
        <w:gridCol w:w="1448"/>
        <w:gridCol w:w="1451"/>
      </w:tblGrid>
      <w:tr>
        <w:trPr>
          <w:tblHeader/>
        </w:trPr>
        <w:tc>
          <w:tcPr>
            <w:tcW w:type="dxa" w:w="5382"/>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Operación</w:t>
            </w:r>
          </w:p>
        </w:tc>
        <w:tc>
          <w:tcPr>
            <w:tcW w:type="dxa" w:w="1655"/>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Administrador</w:t>
            </w:r>
          </w:p>
        </w:tc>
        <w:tc>
          <w:tcPr>
            <w:tcW w:type="dxa" w:w="1448"/>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Analista</w:t>
            </w:r>
          </w:p>
        </w:tc>
        <w:tc>
          <w:tcPr>
            <w:tcW w:type="dxa" w:w="1451"/>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Agente</w:t>
            </w:r>
          </w:p>
        </w:tc>
      </w:tr>
      <w:tr>
        <w:trPr>
          <w:cantSplit/>
        </w:trPr>
        <w:tc>
          <w:tcPr>
            <w:tcW w:type="dxa" w:w="538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Consultar y registrar atención (clientes, casos, notas, acciones)</w:t>
            </w:r>
          </w:p>
        </w:tc>
        <w:tc>
          <w:tcPr>
            <w:tcW w:type="dxa" w:w="165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c>
          <w:tcPr>
            <w:tcW w:type="dxa" w:w="144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c>
          <w:tcPr>
            <w:tcW w:type="dxa" w:w="145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r>
      <w:tr>
        <w:trPr>
          <w:cantSplit/>
        </w:trPr>
        <w:tc>
          <w:tcPr>
            <w:tcW w:type="dxa" w:w="538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Editar datos de clientes</w:t>
            </w:r>
          </w:p>
        </w:tc>
        <w:tc>
          <w:tcPr>
            <w:tcW w:type="dxa" w:w="165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c>
          <w:tcPr>
            <w:tcW w:type="dxa" w:w="144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c>
          <w:tcPr>
            <w:tcW w:type="dxa" w:w="145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No</w:t>
            </w:r>
          </w:p>
        </w:tc>
      </w:tr>
      <w:tr>
        <w:trPr>
          <w:cantSplit/>
        </w:trPr>
        <w:tc>
          <w:tcPr>
            <w:tcW w:type="dxa" w:w="538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Consultar auditoría y exportar CSV</w:t>
            </w:r>
          </w:p>
        </w:tc>
        <w:tc>
          <w:tcPr>
            <w:tcW w:type="dxa" w:w="165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c>
          <w:tcPr>
            <w:tcW w:type="dxa" w:w="144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c>
          <w:tcPr>
            <w:tcW w:type="dxa" w:w="145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No</w:t>
            </w:r>
          </w:p>
        </w:tc>
      </w:tr>
      <w:tr>
        <w:trPr>
          <w:cantSplit/>
        </w:trPr>
        <w:tc>
          <w:tcPr>
            <w:tcW w:type="dxa" w:w="538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Archivar clientes</w:t>
            </w:r>
          </w:p>
        </w:tc>
        <w:tc>
          <w:tcPr>
            <w:tcW w:type="dxa" w:w="165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c>
          <w:tcPr>
            <w:tcW w:type="dxa" w:w="1448"/>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No</w:t>
            </w:r>
          </w:p>
        </w:tc>
        <w:tc>
          <w:tcPr>
            <w:tcW w:type="dxa" w:w="145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No</w:t>
            </w:r>
          </w:p>
        </w:tc>
      </w:tr>
      <w:tr>
        <w:trPr>
          <w:cantSplit/>
        </w:trPr>
        <w:tc>
          <w:tcPr>
            <w:tcW w:type="dxa" w:w="538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Gestionar usuarios y servicios</w:t>
            </w:r>
          </w:p>
        </w:tc>
        <w:tc>
          <w:tcPr>
            <w:tcW w:type="dxa" w:w="165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Sí</w:t>
            </w:r>
          </w:p>
        </w:tc>
        <w:tc>
          <w:tcPr>
            <w:tcW w:type="dxa" w:w="1448"/>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No</w:t>
            </w:r>
          </w:p>
        </w:tc>
        <w:tc>
          <w:tcPr>
            <w:tcW w:type="dxa" w:w="145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No</w:t>
            </w:r>
          </w:p>
        </w:tc>
      </w:tr>
    </w:tbl>
    <w:p>
      <w:pPr>
        <w:spacing w:after="120"/>
      </w:pPr>
    </w:p>
    <w:p>
      <w:pPr>
        <w:spacing w:after="120" w:line="288"/>
      </w:pPr>
      <w:r>
        <w:rPr>
          <w:rFonts w:ascii="Arial" w:cs="Arial" w:eastAsia="Arial" w:hAnsi="Arial"/>
        </w:rPr>
        <w:t xml:space="preserve">Un administrador no puede quitarse su rol ni deshabilitarse, y el sistema siempre conserva al menos un administrador activo.</w:t>
      </w:r>
    </w:p>
    <w:p>
      <w:pPr>
        <w:pStyle w:val="Heading1"/>
        <w:pageBreakBefore/>
      </w:pPr>
      <w:r>
        <w:rPr>
          <w:rFonts w:ascii="Arial" w:cs="Arial" w:eastAsia="Arial" w:hAnsi="Arial"/>
        </w:rPr>
        <w:t xml:space="preserve">8 Interfaz web</w:t>
      </w:r>
    </w:p>
    <w:p>
      <w:pPr>
        <w:spacing w:after="120" w:line="288"/>
      </w:pPr>
      <w:r>
        <w:rPr>
          <w:rFonts w:ascii="Arial" w:cs="Arial" w:eastAsia="Arial" w:hAnsi="Arial"/>
        </w:rPr>
        <w:t xml:space="preserve">La interfaz (</w:t>
      </w:r>
      <w:r>
        <w:rPr>
          <w:rFonts w:ascii="Consolas" w:cs="Consolas" w:eastAsia="Consolas" w:hAnsi="Consolas"/>
          <w:color w:val="0F2A47"/>
          <w:sz w:val="19"/>
          <w:szCs w:val="19"/>
        </w:rPr>
        <w:t xml:space="preserve">public/</w:t>
      </w:r>
      <w:r>
        <w:rPr>
          <w:rFonts w:ascii="Arial" w:cs="Arial" w:eastAsia="Arial" w:hAnsi="Arial"/>
        </w:rPr>
        <w:t xml:space="preserve">) tiene un sistema visual propio, sin librerías ni recursos externos. Está organizada en módulos ES (</w:t>
      </w:r>
      <w:r>
        <w:rPr>
          <w:rFonts w:ascii="Consolas" w:cs="Consolas" w:eastAsia="Consolas" w:hAnsi="Consolas"/>
          <w:color w:val="0F2A47"/>
          <w:sz w:val="19"/>
          <w:szCs w:val="19"/>
        </w:rPr>
        <w:t xml:space="preserve">api</w:t>
      </w:r>
      <w:r>
        <w:rPr>
          <w:rFonts w:ascii="Arial" w:cs="Arial" w:eastAsia="Arial" w:hAnsi="Arial"/>
        </w:rPr>
        <w:t xml:space="preserve">, </w:t>
      </w:r>
      <w:r>
        <w:rPr>
          <w:rFonts w:ascii="Consolas" w:cs="Consolas" w:eastAsia="Consolas" w:hAnsi="Consolas"/>
          <w:color w:val="0F2A47"/>
          <w:sz w:val="19"/>
          <w:szCs w:val="19"/>
        </w:rPr>
        <w:t xml:space="preserve">state</w:t>
      </w:r>
      <w:r>
        <w:rPr>
          <w:rFonts w:ascii="Arial" w:cs="Arial" w:eastAsia="Arial" w:hAnsi="Arial"/>
        </w:rPr>
        <w:t xml:space="preserve">, plantillas seguras, componentes, gráficos SVG y una vista por sección) y consume exclusivamente el API mediante </w:t>
      </w:r>
      <w:r>
        <w:rPr>
          <w:rFonts w:ascii="Consolas" w:cs="Consolas" w:eastAsia="Consolas" w:hAnsi="Consolas"/>
          <w:color w:val="0F2A47"/>
          <w:sz w:val="19"/>
          <w:szCs w:val="19"/>
        </w:rPr>
        <w:t xml:space="preserve">fetch</w:t>
      </w:r>
      <w:r>
        <w:rPr>
          <w:rFonts w:ascii="Arial" w:cs="Arial" w:eastAsia="Arial" w:hAnsi="Arial"/>
        </w:rPr>
        <w:t xml:space="preserve">.</w:t>
      </w:r>
    </w:p>
    <w:p>
      <w:pPr>
        <w:spacing w:before="120"/>
        <w:jc w:val="center"/>
      </w:pPr>
      <w:r>
        <w:drawing>
          <wp:inline distT="0" distB="0" distL="0" distR="0">
            <wp:extent cx="63055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5550" cy="3857625"/>
                    </a:xfrm>
                    <a:prstGeom prst="rect">
                      <a:avLst/>
                    </a:prstGeom>
                  </pic:spPr>
                </pic:pic>
              </a:graphicData>
            </a:graphic>
          </wp:inline>
        </w:drawing>
      </w:r>
    </w:p>
    <w:p>
      <w:pPr>
        <w:spacing w:after="240" w:before="60"/>
        <w:jc w:val="center"/>
      </w:pPr>
      <w:r>
        <w:rPr>
          <w:rFonts w:ascii="Arial" w:cs="Arial" w:eastAsia="Arial" w:hAnsi="Arial"/>
          <w:i/>
          <w:iCs/>
          <w:color w:val="5E6B7D"/>
          <w:sz w:val="18"/>
          <w:szCs w:val="18"/>
        </w:rPr>
        <w:t xml:space="preserve">Figura 2. Panel principal: indicadores, cola de prioridad con factores y distribución del riesgo</w:t>
      </w:r>
    </w:p>
    <w:p>
      <w:pPr>
        <w:spacing w:before="120"/>
        <w:jc w:val="center"/>
      </w:pPr>
      <w:r>
        <w:drawing>
          <wp:inline distT="0" distB="0" distL="0" distR="0">
            <wp:extent cx="630555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3943350"/>
                    </a:xfrm>
                    <a:prstGeom prst="rect">
                      <a:avLst/>
                    </a:prstGeom>
                  </pic:spPr>
                </pic:pic>
              </a:graphicData>
            </a:graphic>
          </wp:inline>
        </w:drawing>
      </w:r>
    </w:p>
    <w:p>
      <w:pPr>
        <w:spacing w:after="240" w:before="60"/>
        <w:jc w:val="center"/>
      </w:pPr>
      <w:r>
        <w:rPr>
          <w:rFonts w:ascii="Arial" w:cs="Arial" w:eastAsia="Arial" w:hAnsi="Arial"/>
          <w:i/>
          <w:iCs/>
          <w:color w:val="5E6B7D"/>
          <w:sz w:val="18"/>
          <w:szCs w:val="18"/>
        </w:rPr>
        <w:t xml:space="preserve">Figura 3. Ficha del cliente: puntaje explicado por factor, acciones e historial</w:t>
      </w:r>
    </w:p>
    <w:p>
      <w:pPr>
        <w:pStyle w:val="Heading2"/>
      </w:pPr>
      <w:r>
        <w:rPr>
          <w:rFonts w:ascii="Arial" w:cs="Arial" w:eastAsia="Arial" w:hAnsi="Arial"/>
        </w:rPr>
        <w:t xml:space="preserve">Funciones principales</w:t>
      </w:r>
    </w:p>
    <w:p>
      <w:pPr>
        <w:pStyle w:val="ListParagraph"/>
        <w:numPr>
          <w:ilvl w:val="0"/>
          <w:numId w:val="4"/>
        </w:numPr>
        <w:spacing w:after="60" w:line="276"/>
      </w:pPr>
      <w:r>
        <w:rPr>
          <w:rFonts w:ascii="Arial" w:cs="Arial" w:eastAsia="Arial" w:hAnsi="Arial"/>
        </w:rPr>
        <w:t xml:space="preserve">Panel con indicadores, tendencia de 8 semanas, motivos de reclamo, carga por servicio, factores del riesgo y tasa de recuperación.</w:t>
      </w:r>
    </w:p>
    <w:p>
      <w:pPr>
        <w:pStyle w:val="ListParagraph"/>
        <w:numPr>
          <w:ilvl w:val="0"/>
          <w:numId w:val="4"/>
        </w:numPr>
        <w:spacing w:after="60" w:line="276"/>
      </w:pPr>
      <w:r>
        <w:rPr>
          <w:rFonts w:ascii="Arial" w:cs="Arial" w:eastAsia="Arial" w:hAnsi="Arial"/>
        </w:rPr>
        <w:t xml:space="preserve">Clientes ordenados por riesgo con filtros por nivel y estado, búsqueda sin tildes y exportación CSV.</w:t>
      </w:r>
    </w:p>
    <w:p>
      <w:pPr>
        <w:pStyle w:val="ListParagraph"/>
        <w:numPr>
          <w:ilvl w:val="0"/>
          <w:numId w:val="4"/>
        </w:numPr>
        <w:spacing w:after="60" w:line="276"/>
      </w:pPr>
      <w:r>
        <w:rPr>
          <w:rFonts w:ascii="Arial" w:cs="Arial" w:eastAsia="Arial" w:hAnsi="Arial"/>
        </w:rPr>
        <w:t xml:space="preserve">Incidencias con estado del SLA y cambio de estado guiado; retención con detección de acciones vencidas.</w:t>
      </w:r>
    </w:p>
    <w:p>
      <w:pPr>
        <w:pStyle w:val="ListParagraph"/>
        <w:numPr>
          <w:ilvl w:val="0"/>
          <w:numId w:val="4"/>
        </w:numPr>
        <w:spacing w:after="60" w:line="276"/>
      </w:pPr>
      <w:r>
        <w:rPr>
          <w:rFonts w:ascii="Arial" w:cs="Arial" w:eastAsia="Arial" w:hAnsi="Arial"/>
        </w:rPr>
        <w:t xml:space="preserve">Gestión de equipo y servicios, y auditoría con gráficos de la agregación de MongoDB.</w:t>
      </w:r>
    </w:p>
    <w:p>
      <w:pPr>
        <w:pStyle w:val="ListParagraph"/>
        <w:numPr>
          <w:ilvl w:val="0"/>
          <w:numId w:val="4"/>
        </w:numPr>
        <w:spacing w:after="60" w:line="276"/>
      </w:pPr>
      <w:r>
        <w:rPr>
          <w:rFonts w:ascii="Arial" w:cs="Arial" w:eastAsia="Arial" w:hAnsi="Arial"/>
        </w:rPr>
        <w:t xml:space="preserve">Modo claro y oscuro, diseño adaptable a celular, búsqueda global con la tecla </w:t>
      </w:r>
      <w:r>
        <w:rPr>
          <w:rFonts w:ascii="Consolas" w:cs="Consolas" w:eastAsia="Consolas" w:hAnsi="Consolas"/>
          <w:color w:val="0F2A47"/>
          <w:sz w:val="19"/>
          <w:szCs w:val="19"/>
        </w:rPr>
        <w:t xml:space="preserve">/</w:t>
      </w:r>
      <w:r>
        <w:rPr>
          <w:rFonts w:ascii="Arial" w:cs="Arial" w:eastAsia="Arial" w:hAnsi="Arial"/>
        </w:rPr>
        <w:t xml:space="preserve"> y errores de formulario en español junto a cada campo.</w:t>
      </w:r>
    </w:p>
    <w:p>
      <w:pPr>
        <w:pStyle w:val="ListParagraph"/>
        <w:numPr>
          <w:ilvl w:val="0"/>
          <w:numId w:val="4"/>
        </w:numPr>
        <w:spacing w:after="60" w:line="276"/>
      </w:pPr>
      <w:r>
        <w:rPr>
          <w:rFonts w:ascii="Arial" w:cs="Arial" w:eastAsia="Arial" w:hAnsi="Arial"/>
        </w:rPr>
        <w:t xml:space="preserve">Logotipo: un medidor de riesgo cuyos tramos de color siguen los umbrales reales del puntaje (bajo, medio, alto).</w:t>
      </w:r>
    </w:p>
    <w:p>
      <w:pPr>
        <w:pStyle w:val="Heading1"/>
        <w:pageBreakBefore/>
      </w:pPr>
      <w:r>
        <w:rPr>
          <w:rFonts w:ascii="Arial" w:cs="Arial" w:eastAsia="Arial" w:hAnsi="Arial"/>
        </w:rPr>
        <w:t xml:space="preserve">9 Seguridad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65"/>
        <w:gridCol w:w="7571"/>
      </w:tblGrid>
      <w:tr>
        <w:trPr>
          <w:tblHeader/>
        </w:trPr>
        <w:tc>
          <w:tcPr>
            <w:tcW w:type="dxa" w:w="2365"/>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Aspecto</w:t>
            </w:r>
          </w:p>
        </w:tc>
        <w:tc>
          <w:tcPr>
            <w:tcW w:type="dxa" w:w="7571"/>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Medida implementada</w:t>
            </w:r>
          </w:p>
        </w:tc>
      </w:tr>
      <w:tr>
        <w:trPr>
          <w:cantSplit/>
        </w:trPr>
        <w:tc>
          <w:tcPr>
            <w:tcW w:type="dxa" w:w="236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Contraseñas</w:t>
            </w:r>
          </w:p>
        </w:tc>
        <w:tc>
          <w:tcPr>
            <w:tcW w:type="dxa" w:w="757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Hash bcrypt (costo 12, máximo 72 bytes); comparación de tiempo constante ante correos inexistentes</w:t>
            </w:r>
          </w:p>
        </w:tc>
      </w:tr>
      <w:tr>
        <w:trPr>
          <w:cantSplit/>
        </w:trPr>
        <w:tc>
          <w:tcPr>
            <w:tcW w:type="dxa" w:w="236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Sesión</w:t>
            </w:r>
          </w:p>
        </w:tc>
        <w:tc>
          <w:tcPr>
            <w:tcW w:type="dxa" w:w="757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JWT HS256 con emisor, audiencia y expiración; el usuario se vuelve a consultar en cada petición</w:t>
            </w:r>
          </w:p>
        </w:tc>
      </w:tr>
      <w:tr>
        <w:trPr>
          <w:cantSplit/>
        </w:trPr>
        <w:tc>
          <w:tcPr>
            <w:tcW w:type="dxa" w:w="236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Autorización</w:t>
            </w:r>
          </w:p>
        </w:tc>
        <w:tc>
          <w:tcPr>
            <w:tcW w:type="dxa" w:w="757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RBAC por rol en cada ruta sensible</w:t>
            </w:r>
          </w:p>
        </w:tc>
      </w:tr>
      <w:tr>
        <w:trPr>
          <w:cantSplit/>
        </w:trPr>
        <w:tc>
          <w:tcPr>
            <w:tcW w:type="dxa" w:w="236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Entradas</w:t>
            </w:r>
          </w:p>
        </w:tc>
        <w:tc>
          <w:tcPr>
            <w:tcW w:type="dxa" w:w="757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Validación estricta con Zod; consultas SQL siempre parametrizadas; columnas actualizables en lista blanca</w:t>
            </w:r>
          </w:p>
        </w:tc>
      </w:tr>
      <w:tr>
        <w:trPr>
          <w:cantSplit/>
        </w:trPr>
        <w:tc>
          <w:tcPr>
            <w:tcW w:type="dxa" w:w="236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Navegador</w:t>
            </w:r>
          </w:p>
        </w:tc>
        <w:tc>
          <w:tcPr>
            <w:tcW w:type="dxa" w:w="757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Helmet y Content Security Policy estricta (sin scripts ni estilos externos o en línea); plantillas con escape automático contra XSS</w:t>
            </w:r>
          </w:p>
        </w:tc>
      </w:tr>
      <w:tr>
        <w:trPr>
          <w:cantSplit/>
        </w:trPr>
        <w:tc>
          <w:tcPr>
            <w:tcW w:type="dxa" w:w="236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Abuso</w:t>
            </w:r>
          </w:p>
        </w:tc>
        <w:tc>
          <w:tcPr>
            <w:tcW w:type="dxa" w:w="757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Límite de 300 solicitudes por minuto y 20 intentos de login cada 15 minutos</w:t>
            </w:r>
          </w:p>
        </w:tc>
      </w:tr>
      <w:tr>
        <w:trPr>
          <w:cantSplit/>
        </w:trPr>
        <w:tc>
          <w:tcPr>
            <w:tcW w:type="dxa" w:w="2365"/>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Datos sensibles</w:t>
            </w:r>
          </w:p>
        </w:tc>
        <w:tc>
          <w:tcPr>
            <w:tcW w:type="dxa" w:w="7571"/>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Respuestas del API con </w:t>
            </w:r>
            <w:r>
              <w:rPr>
                <w:rFonts w:ascii="Consolas" w:cs="Consolas" w:eastAsia="Consolas" w:hAnsi="Consolas"/>
                <w:color w:val="0F2A47"/>
                <w:sz w:val="18"/>
                <w:szCs w:val="18"/>
              </w:rPr>
              <w:t xml:space="preserve">Cache-Control: no-store</w:t>
            </w:r>
            <w:r>
              <w:rPr>
                <w:rFonts w:ascii="Arial" w:cs="Arial" w:eastAsia="Arial" w:hAnsi="Arial"/>
                <w:sz w:val="18"/>
                <w:szCs w:val="18"/>
              </w:rPr>
              <w:t xml:space="preserve">; logs sin contraseñas, tokens ni cuerpos</w:t>
            </w:r>
          </w:p>
        </w:tc>
      </w:tr>
      <w:tr>
        <w:trPr>
          <w:cantSplit/>
        </w:trPr>
        <w:tc>
          <w:tcPr>
            <w:tcW w:type="dxa" w:w="2365"/>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Reportes</w:t>
            </w:r>
          </w:p>
        </w:tc>
        <w:tc>
          <w:tcPr>
            <w:tcW w:type="dxa" w:w="7571"/>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CSV protegido contra inyección de fórmulas en Excel</w:t>
            </w:r>
          </w:p>
        </w:tc>
      </w:tr>
    </w:tbl>
    <w:p>
      <w:pPr>
        <w:pStyle w:val="Heading1"/>
        <w:pageBreakBefore/>
      </w:pPr>
      <w:r>
        <w:rPr>
          <w:rFonts w:ascii="Arial" w:cs="Arial" w:eastAsia="Arial" w:hAnsi="Arial"/>
        </w:rPr>
        <w:t xml:space="preserve">10 Instalación y demostración</w:t>
      </w:r>
    </w:p>
    <w:p>
      <w:pPr>
        <w:pStyle w:val="Heading2"/>
      </w:pPr>
      <w:r>
        <w:rPr>
          <w:rFonts w:ascii="Arial" w:cs="Arial" w:eastAsia="Arial" w:hAnsi="Arial"/>
        </w:rPr>
        <w:t xml:space="preserve">Demo rápida (sin bases de datos)</w:t>
      </w:r>
    </w:p>
    <w:p>
      <w:pPr>
        <w:spacing w:after="120" w:line="288"/>
      </w:pPr>
      <w:r>
        <w:rPr>
          <w:rFonts w:ascii="Arial" w:cs="Arial" w:eastAsia="Arial" w:hAnsi="Arial"/>
        </w:rPr>
        <w:t xml:space="preserve">Con Node.js 22 o 24 LTS, en la carpeta </w:t>
      </w:r>
      <w:r>
        <w:rPr>
          <w:rFonts w:ascii="Consolas" w:cs="Consolas" w:eastAsia="Consolas" w:hAnsi="Consolas"/>
          <w:color w:val="0F2A47"/>
          <w:sz w:val="19"/>
          <w:szCs w:val="19"/>
        </w:rPr>
        <w:t xml:space="preserve">FugaCliente</w:t>
      </w:r>
      <w:r>
        <w:rPr>
          <w:rFonts w:ascii="Arial" w:cs="Arial" w:eastAsia="Arial" w:hAnsi="Arial"/>
        </w:rPr>
        <w:t xml:space="preserve">:</w:t>
      </w:r>
    </w:p>
    <w:p>
      <w:pPr>
        <w:shd w:fill="0B1E33" w:color="auto" w:val="clear"/>
        <w:spacing w:after="0" w:before="80" w:line="260"/>
        <w:ind w:left="120" w:right="120"/>
      </w:pPr>
      <w:r>
        <w:rPr>
          <w:rFonts w:ascii="Consolas" w:cs="Consolas" w:eastAsia="Consolas" w:hAnsi="Consolas"/>
          <w:color w:val="D5E3F0"/>
          <w:sz w:val="18"/>
          <w:szCs w:val="18"/>
        </w:rPr>
        <w:t xml:space="preserve">npm ci</w:t>
      </w:r>
    </w:p>
    <w:p>
      <w:pPr>
        <w:shd w:fill="0B1E33" w:color="auto" w:val="clear"/>
        <w:spacing w:after="160" w:before="0" w:line="260"/>
        <w:ind w:left="120" w:right="120"/>
      </w:pPr>
      <w:r>
        <w:rPr>
          <w:rFonts w:ascii="Consolas" w:cs="Consolas" w:eastAsia="Consolas" w:hAnsi="Consolas"/>
          <w:color w:val="D5E3F0"/>
          <w:sz w:val="18"/>
          <w:szCs w:val="18"/>
        </w:rPr>
        <w:t xml:space="preserve">npm run demo</w:t>
      </w:r>
    </w:p>
    <w:p>
      <w:pPr>
        <w:spacing w:after="120" w:line="288"/>
      </w:pPr>
      <w:r>
        <w:rPr>
          <w:rFonts w:ascii="Arial" w:cs="Arial" w:eastAsia="Arial" w:hAnsi="Arial"/>
        </w:rPr>
        <w:t xml:space="preserve">Abrir </w:t>
      </w:r>
      <w:r>
        <w:rPr>
          <w:rFonts w:ascii="Consolas" w:cs="Consolas" w:eastAsia="Consolas" w:hAnsi="Consolas"/>
          <w:color w:val="0F2A47"/>
          <w:sz w:val="19"/>
          <w:szCs w:val="19"/>
        </w:rPr>
        <w:t xml:space="preserve">http://localhost:3000</w:t>
      </w:r>
      <w:r>
        <w:rPr>
          <w:rFonts w:ascii="Arial" w:cs="Arial" w:eastAsia="Arial" w:hAnsi="Arial"/>
        </w:rPr>
        <w:t xml:space="preserve"> con </w:t>
      </w:r>
      <w:r>
        <w:rPr>
          <w:rFonts w:ascii="Consolas" w:cs="Consolas" w:eastAsia="Consolas" w:hAnsi="Consolas"/>
          <w:color w:val="0F2A47"/>
          <w:sz w:val="19"/>
          <w:szCs w:val="19"/>
        </w:rPr>
        <w:t xml:space="preserve">admin@fugacliente.local</w:t>
      </w:r>
      <w:r>
        <w:rPr>
          <w:rFonts w:ascii="Arial" w:cs="Arial" w:eastAsia="Arial" w:hAnsi="Arial"/>
        </w:rPr>
        <w:t xml:space="preserve"> y la contraseña </w:t>
      </w:r>
      <w:r>
        <w:rPr>
          <w:rFonts w:ascii="Consolas" w:cs="Consolas" w:eastAsia="Consolas" w:hAnsi="Consolas"/>
          <w:color w:val="0F2A47"/>
          <w:sz w:val="19"/>
          <w:szCs w:val="19"/>
        </w:rPr>
        <w:t xml:space="preserve">FugaCliente2026!</w:t>
      </w:r>
      <w:r>
        <w:rPr>
          <w:rFonts w:ascii="Arial" w:cs="Arial" w:eastAsia="Arial" w:hAnsi="Arial"/>
        </w:rPr>
        <w:t xml:space="preserve">. También existen los usuarios analista y agente. Los datos se reinician al detener el servidor.</w:t>
      </w:r>
    </w:p>
    <w:p>
      <w:pPr>
        <w:pStyle w:val="Heading2"/>
      </w:pPr>
      <w:r>
        <w:rPr>
          <w:rFonts w:ascii="Arial" w:cs="Arial" w:eastAsia="Arial" w:hAnsi="Arial"/>
        </w:rPr>
        <w:t xml:space="preserve">Modo completo para la evaluación</w:t>
      </w:r>
    </w:p>
    <w:p>
      <w:pPr>
        <w:spacing w:after="120" w:line="288"/>
      </w:pPr>
      <w:r>
        <w:rPr>
          <w:rFonts w:ascii="Arial" w:cs="Arial" w:eastAsia="Arial" w:hAnsi="Arial"/>
        </w:rPr>
        <w:t xml:space="preserve">Requiere Docker Desktop (o SQL Server 2022 y MongoDB 8 instalados). En Windows:</w:t>
      </w:r>
    </w:p>
    <w:p>
      <w:pPr>
        <w:shd w:fill="0B1E33" w:color="auto" w:val="clear"/>
        <w:spacing w:after="0" w:before="80" w:line="260"/>
        <w:ind w:left="120" w:right="120"/>
      </w:pPr>
      <w:r>
        <w:rPr>
          <w:rFonts w:ascii="Consolas" w:cs="Consolas" w:eastAsia="Consolas" w:hAnsi="Consolas"/>
          <w:color w:val="D5E3F0"/>
          <w:sz w:val="18"/>
          <w:szCs w:val="18"/>
        </w:rPr>
        <w:t xml:space="preserve">Copy-Item .env.example .env      # definir un JWT_SECRET propio</w:t>
      </w:r>
    </w:p>
    <w:p>
      <w:pPr>
        <w:shd w:fill="0B1E33" w:color="auto" w:val="clear"/>
        <w:spacing w:after="0" w:before="0" w:line="260"/>
        <w:ind w:left="120" w:right="120"/>
      </w:pPr>
      <w:r>
        <w:rPr>
          <w:rFonts w:ascii="Consolas" w:cs="Consolas" w:eastAsia="Consolas" w:hAnsi="Consolas"/>
          <w:color w:val="D5E3F0"/>
          <w:sz w:val="18"/>
          <w:szCs w:val="18"/>
        </w:rPr>
        <w:t xml:space="preserve">docker compose up -d --wait</w:t>
      </w:r>
    </w:p>
    <w:p>
      <w:pPr>
        <w:shd w:fill="0B1E33" w:color="auto" w:val="clear"/>
        <w:spacing w:after="0" w:before="0" w:line="260"/>
        <w:ind w:left="120" w:right="120"/>
      </w:pPr>
      <w:r>
        <w:rPr>
          <w:rFonts w:ascii="Consolas" w:cs="Consolas" w:eastAsia="Consolas" w:hAnsi="Consolas"/>
          <w:color w:val="D5E3F0"/>
          <w:sz w:val="18"/>
          <w:szCs w:val="18"/>
        </w:rPr>
        <w:t xml:space="preserve">npm run db:setup                 # tablas, procedimientos, vistas y colecciones</w:t>
      </w:r>
    </w:p>
    <w:p>
      <w:pPr>
        <w:shd w:fill="0B1E33" w:color="auto" w:val="clear"/>
        <w:spacing w:after="0" w:before="0" w:line="260"/>
        <w:ind w:left="120" w:right="120"/>
      </w:pPr>
      <w:r>
        <w:rPr>
          <w:rFonts w:ascii="Consolas" w:cs="Consolas" w:eastAsia="Consolas" w:hAnsi="Consolas"/>
          <w:color w:val="D5E3F0"/>
          <w:sz w:val="18"/>
          <w:szCs w:val="18"/>
        </w:rPr>
        <w:t xml:space="preserve">npm run db:seed                  # datos ficticios (opcional)</w:t>
      </w:r>
    </w:p>
    <w:p>
      <w:pPr>
        <w:shd w:fill="0B1E33" w:color="auto" w:val="clear"/>
        <w:spacing w:after="0" w:before="0" w:line="260"/>
        <w:ind w:left="120" w:right="120"/>
      </w:pPr>
      <w:r>
        <w:rPr>
          <w:rFonts w:ascii="Consolas" w:cs="Consolas" w:eastAsia="Consolas" w:hAnsi="Consolas"/>
          <w:color w:val="D5E3F0"/>
          <w:sz w:val="18"/>
          <w:szCs w:val="18"/>
        </w:rPr>
        <w:t xml:space="preserve">npm run doctor                   # verifica conexiones, 5 procedimientos y 3 vistas</w:t>
      </w:r>
    </w:p>
    <w:p>
      <w:pPr>
        <w:shd w:fill="0B1E33" w:color="auto" w:val="clear"/>
        <w:spacing w:after="160" w:before="0" w:line="260"/>
        <w:ind w:left="120" w:right="120"/>
      </w:pPr>
      <w:r>
        <w:rPr>
          <w:rFonts w:ascii="Consolas" w:cs="Consolas" w:eastAsia="Consolas" w:hAnsi="Consolas"/>
          <w:color w:val="D5E3F0"/>
          <w:sz w:val="18"/>
          <w:szCs w:val="18"/>
        </w:rPr>
        <w:t xml:space="preserve">npm run dev</w:t>
      </w:r>
    </w:p>
    <w:p>
      <w:pPr>
        <w:spacing w:after="120" w:line="288"/>
      </w:pPr>
      <w:r>
        <w:rPr>
          <w:rFonts w:ascii="Arial" w:cs="Arial" w:eastAsia="Arial" w:hAnsi="Arial"/>
        </w:rPr>
        <w:t xml:space="preserve">En este modo la interfaz indica "SQL Server + MongoDB" y </w:t>
      </w:r>
      <w:r>
        <w:rPr>
          <w:rFonts w:ascii="Consolas" w:cs="Consolas" w:eastAsia="Consolas" w:hAnsi="Consolas"/>
          <w:color w:val="0F2A47"/>
          <w:sz w:val="19"/>
          <w:szCs w:val="19"/>
        </w:rPr>
        <w:t xml:space="preserve">/api/health</w:t>
      </w:r>
      <w:r>
        <w:rPr>
          <w:rFonts w:ascii="Arial" w:cs="Arial" w:eastAsia="Arial" w:hAnsi="Arial"/>
        </w:rPr>
        <w:t xml:space="preserve"> devuelve </w:t>
      </w:r>
      <w:r>
        <w:rPr>
          <w:rFonts w:ascii="Consolas" w:cs="Consolas" w:eastAsia="Consolas" w:hAnsi="Consolas"/>
          <w:color w:val="0F2A47"/>
          <w:sz w:val="19"/>
          <w:szCs w:val="19"/>
        </w:rPr>
        <w:t xml:space="preserve">mode: sqlmongo</w:t>
      </w:r>
      <w:r>
        <w:rPr>
          <w:rFonts w:ascii="Arial" w:cs="Arial" w:eastAsia="Arial" w:hAnsi="Arial"/>
        </w:rPr>
        <w:t xml:space="preserve">, </w:t>
      </w:r>
      <w:r>
        <w:rPr>
          <w:rFonts w:ascii="Consolas" w:cs="Consolas" w:eastAsia="Consolas" w:hAnsi="Consolas"/>
          <w:color w:val="0F2A47"/>
          <w:sz w:val="19"/>
          <w:szCs w:val="19"/>
        </w:rPr>
        <w:t xml:space="preserve">sql: ok</w:t>
      </w:r>
      <w:r>
        <w:rPr>
          <w:rFonts w:ascii="Arial" w:cs="Arial" w:eastAsia="Arial" w:hAnsi="Arial"/>
        </w:rPr>
        <w:t xml:space="preserve"> y </w:t>
      </w:r>
      <w:r>
        <w:rPr>
          <w:rFonts w:ascii="Consolas" w:cs="Consolas" w:eastAsia="Consolas" w:hAnsi="Consolas"/>
          <w:color w:val="0F2A47"/>
          <w:sz w:val="19"/>
          <w:szCs w:val="19"/>
        </w:rPr>
        <w:t xml:space="preserve">mongo: ok</w:t>
      </w:r>
      <w:r>
        <w:rPr>
          <w:rFonts w:ascii="Arial" w:cs="Arial" w:eastAsia="Arial" w:hAnsi="Arial"/>
        </w:rPr>
        <w:t xml:space="preserve">.</w:t>
      </w:r>
    </w:p>
    <w:p>
      <w:pPr>
        <w:pStyle w:val="Heading2"/>
      </w:pPr>
      <w:r>
        <w:rPr>
          <w:rFonts w:ascii="Arial" w:cs="Arial" w:eastAsia="Arial" w:hAnsi="Arial"/>
        </w:rPr>
        <w:t xml:space="preserve">Recorrido sugerido para la sustentación</w:t>
      </w:r>
    </w:p>
    <w:p>
      <w:pPr>
        <w:pStyle w:val="ListParagraph"/>
        <w:numPr>
          <w:ilvl w:val="0"/>
          <w:numId w:val="5"/>
        </w:numPr>
        <w:spacing w:after="60" w:line="276"/>
      </w:pPr>
      <w:r>
        <w:rPr>
          <w:rFonts w:ascii="Arial" w:cs="Arial" w:eastAsia="Arial" w:hAnsi="Arial"/>
        </w:rPr>
        <w:t xml:space="preserve">Mostrar </w:t>
      </w:r>
      <w:r>
        <w:rPr>
          <w:rFonts w:ascii="Consolas" w:cs="Consolas" w:eastAsia="Consolas" w:hAnsi="Consolas"/>
          <w:color w:val="0F2A47"/>
          <w:sz w:val="19"/>
          <w:szCs w:val="19"/>
        </w:rPr>
        <w:t xml:space="preserve">/api/health</w:t>
      </w:r>
      <w:r>
        <w:rPr>
          <w:rFonts w:ascii="Arial" w:cs="Arial" w:eastAsia="Arial" w:hAnsi="Arial"/>
        </w:rPr>
        <w:t xml:space="preserve"> en modo </w:t>
      </w:r>
      <w:r>
        <w:rPr>
          <w:rFonts w:ascii="Consolas" w:cs="Consolas" w:eastAsia="Consolas" w:hAnsi="Consolas"/>
          <w:color w:val="0F2A47"/>
          <w:sz w:val="19"/>
          <w:szCs w:val="19"/>
        </w:rPr>
        <w:t xml:space="preserve">sqlmongo</w:t>
      </w:r>
      <w:r>
        <w:rPr>
          <w:rFonts w:ascii="Arial" w:cs="Arial" w:eastAsia="Arial" w:hAnsi="Arial"/>
        </w:rPr>
        <w:t xml:space="preserve"> y el diagrama de arquitectura.</w:t>
      </w:r>
    </w:p>
    <w:p>
      <w:pPr>
        <w:pStyle w:val="ListParagraph"/>
        <w:numPr>
          <w:ilvl w:val="0"/>
          <w:numId w:val="5"/>
        </w:numPr>
        <w:spacing w:after="60" w:line="276"/>
      </w:pPr>
      <w:r>
        <w:rPr>
          <w:rFonts w:ascii="Arial" w:cs="Arial" w:eastAsia="Arial" w:hAnsi="Arial"/>
        </w:rPr>
        <w:t xml:space="preserve">Seguir una petición por ruta, controlador, servicio y repositorio.</w:t>
      </w:r>
    </w:p>
    <w:p>
      <w:pPr>
        <w:pStyle w:val="ListParagraph"/>
        <w:numPr>
          <w:ilvl w:val="0"/>
          <w:numId w:val="5"/>
        </w:numPr>
        <w:spacing w:after="60" w:line="276"/>
      </w:pPr>
      <w:r>
        <w:rPr>
          <w:rFonts w:ascii="Arial" w:cs="Arial" w:eastAsia="Arial" w:hAnsi="Arial"/>
        </w:rPr>
        <w:t xml:space="preserve">Registrar un cliente y una incidencia grave con satisfacción 1: el puntaje sube a 50; mostrar el registro en SQL.</w:t>
      </w:r>
    </w:p>
    <w:p>
      <w:pPr>
        <w:pStyle w:val="ListParagraph"/>
        <w:numPr>
          <w:ilvl w:val="0"/>
          <w:numId w:val="5"/>
        </w:numPr>
        <w:spacing w:after="60" w:line="276"/>
      </w:pPr>
      <w:r>
        <w:rPr>
          <w:rFonts w:ascii="Arial" w:cs="Arial" w:eastAsia="Arial" w:hAnsi="Arial"/>
        </w:rPr>
        <w:t xml:space="preserve">Resolver la incidencia: baja a 40; ejecutar en Postman la versión obsoleta (409).</w:t>
      </w:r>
    </w:p>
    <w:p>
      <w:pPr>
        <w:pStyle w:val="ListParagraph"/>
        <w:numPr>
          <w:ilvl w:val="0"/>
          <w:numId w:val="5"/>
        </w:numPr>
        <w:spacing w:after="60" w:line="276"/>
      </w:pPr>
      <w:r>
        <w:rPr>
          <w:rFonts w:ascii="Arial" w:cs="Arial" w:eastAsia="Arial" w:hAnsi="Arial"/>
        </w:rPr>
        <w:t xml:space="preserve">Asignar y completar un seguimiento; agregar una nota y consultarla en MongoDB.</w:t>
      </w:r>
    </w:p>
    <w:p>
      <w:pPr>
        <w:pStyle w:val="ListParagraph"/>
        <w:numPr>
          <w:ilvl w:val="0"/>
          <w:numId w:val="5"/>
        </w:numPr>
        <w:spacing w:after="60" w:line="276"/>
      </w:pPr>
      <w:r>
        <w:rPr>
          <w:rFonts w:ascii="Arial" w:cs="Arial" w:eastAsia="Arial" w:hAnsi="Arial"/>
        </w:rPr>
        <w:t xml:space="preserve">Abrir Auditoría y explicar la agregación </w:t>
      </w:r>
      <w:r>
        <w:rPr>
          <w:rFonts w:ascii="Consolas" w:cs="Consolas" w:eastAsia="Consolas" w:hAnsi="Consolas"/>
          <w:color w:val="0F2A47"/>
          <w:sz w:val="19"/>
          <w:szCs w:val="19"/>
        </w:rPr>
        <w:t xml:space="preserve">$facet</w:t>
      </w:r>
      <w:r>
        <w:rPr>
          <w:rFonts w:ascii="Arial" w:cs="Arial" w:eastAsia="Arial" w:hAnsi="Arial"/>
        </w:rPr>
        <w:t xml:space="preserve">; mostrar la vista </w:t>
      </w:r>
      <w:r>
        <w:rPr>
          <w:rFonts w:ascii="Consolas" w:cs="Consolas" w:eastAsia="Consolas" w:hAnsi="Consolas"/>
          <w:color w:val="0F2A47"/>
          <w:sz w:val="19"/>
          <w:szCs w:val="19"/>
        </w:rPr>
        <w:t xml:space="preserve">vw_ClientIncidentSummary</w:t>
      </w:r>
      <w:r>
        <w:rPr>
          <w:rFonts w:ascii="Arial" w:cs="Arial" w:eastAsia="Arial" w:hAnsi="Arial"/>
        </w:rPr>
        <w:t xml:space="preserve">.</w:t>
      </w:r>
    </w:p>
    <w:p>
      <w:pPr>
        <w:pStyle w:val="ListParagraph"/>
        <w:numPr>
          <w:ilvl w:val="0"/>
          <w:numId w:val="5"/>
        </w:numPr>
        <w:spacing w:after="60" w:line="276"/>
      </w:pPr>
      <w:r>
        <w:rPr>
          <w:rFonts w:ascii="Arial" w:cs="Arial" w:eastAsia="Arial" w:hAnsi="Arial"/>
        </w:rPr>
        <w:t xml:space="preserve">Mostrar una validación 400, un 403 por rol y la exportación CSV.</w:t>
      </w:r>
    </w:p>
    <w:p>
      <w:pPr>
        <w:pStyle w:val="Heading1"/>
        <w:pageBreakBefore/>
      </w:pPr>
      <w:r>
        <w:rPr>
          <w:rFonts w:ascii="Arial" w:cs="Arial" w:eastAsia="Arial" w:hAnsi="Arial"/>
        </w:rPr>
        <w:t xml:space="preserve">11 Verificación y calidad</w:t>
      </w:r>
    </w:p>
    <w:p>
      <w:pPr>
        <w:spacing w:after="120" w:line="288"/>
      </w:pPr>
      <w:r>
        <w:rPr>
          <w:rFonts w:ascii="Arial" w:cs="Arial" w:eastAsia="Arial" w:hAnsi="Arial"/>
        </w:rPr>
        <w:t xml:space="preserve">El proyecto incluye </w:t>
      </w:r>
      <w:r>
        <w:rPr>
          <w:rFonts w:ascii="Arial" w:cs="Arial" w:eastAsia="Arial" w:hAnsi="Arial"/>
          <w:b/>
          <w:bCs/>
        </w:rPr>
        <w:t xml:space="preserve">41 pruebas automáticas</w:t>
      </w:r>
      <w:r>
        <w:rPr>
          <w:rFonts w:ascii="Arial" w:cs="Arial" w:eastAsia="Arial" w:hAnsi="Arial"/>
        </w:rPr>
        <w:t xml:space="preserve"> (</w:t>
      </w:r>
      <w:r>
        <w:rPr>
          <w:rFonts w:ascii="Consolas" w:cs="Consolas" w:eastAsia="Consolas" w:hAnsi="Consolas"/>
          <w:color w:val="0F2A47"/>
          <w:sz w:val="19"/>
          <w:szCs w:val="19"/>
        </w:rPr>
        <w:t xml:space="preserve">npm test</w:t>
      </w:r>
      <w:r>
        <w:rPr>
          <w:rFonts w:ascii="Arial" w:cs="Arial" w:eastAsia="Arial" w:hAnsi="Arial"/>
        </w:rPr>
        <w:t xml:space="preserve">) que se ejecutan con repositorios en memoria, además de una revisión de sintaxis de 74 archivos (</w:t>
      </w:r>
      <w:r>
        <w:rPr>
          <w:rFonts w:ascii="Consolas" w:cs="Consolas" w:eastAsia="Consolas" w:hAnsi="Consolas"/>
          <w:color w:val="0F2A47"/>
          <w:sz w:val="19"/>
          <w:szCs w:val="19"/>
        </w:rPr>
        <w:t xml:space="preserve">npm run check</w:t>
      </w:r>
      <w:r>
        <w:rPr>
          <w:rFonts w:ascii="Arial" w:cs="Arial" w:eastAsia="Arial" w:hAnsi="Arial"/>
        </w:rPr>
        <w:t xml:space="preserve">). Todas aprueban. La integración continua (GitHub Actions) las repite con Node.js 22 y 24 en cada cambio.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7452"/>
      </w:tblGrid>
      <w:tr>
        <w:trPr>
          <w:tblHeader/>
        </w:trPr>
        <w:tc>
          <w:tcPr>
            <w:tcW w:type="dxa" w:w="2484"/>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Ámbito</w:t>
            </w:r>
          </w:p>
        </w:tc>
        <w:tc>
          <w:tcPr>
            <w:tcW w:type="dxa" w:w="7452"/>
            <w:tcBorders>
              <w:top w:val="single" w:color="CFD7E0" w:sz="4"/>
              <w:left w:val="single" w:color="CFD7E0" w:sz="4"/>
              <w:bottom w:val="single" w:color="CFD7E0" w:sz="4"/>
              <w:right w:val="single" w:color="CFD7E0" w:sz="4"/>
            </w:tcBorders>
            <w:shd w:fill="0F2A47" w:color="auto" w:val="clear"/>
            <w:tcMar>
              <w:top w:type="dxa" w:w="70"/>
              <w:left w:type="dxa" w:w="110"/>
              <w:bottom w:type="dxa" w:w="70"/>
              <w:right w:type="dxa" w:w="110"/>
            </w:tcMar>
          </w:tcPr>
          <w:p>
            <w:pPr>
              <w:spacing w:line="252"/>
            </w:pPr>
            <w:r>
              <w:rPr>
                <w:rFonts w:ascii="Arial" w:cs="Arial" w:eastAsia="Arial" w:hAnsi="Arial"/>
                <w:b/>
                <w:bCs/>
                <w:color w:val="FFFFFF"/>
                <w:sz w:val="18"/>
                <w:szCs w:val="18"/>
              </w:rPr>
              <w:t xml:space="preserve">Qué se comprueba</w:t>
            </w:r>
          </w:p>
        </w:tc>
      </w:tr>
      <w:tr>
        <w:trPr>
          <w:cantSplit/>
        </w:trPr>
        <w:tc>
          <w:tcPr>
            <w:tcW w:type="dxa" w:w="248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Autenticación y roles</w:t>
            </w:r>
          </w:p>
        </w:tc>
        <w:tc>
          <w:tcPr>
            <w:tcW w:type="dxa" w:w="745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Tokens inválidos, permisos por rol, revocación inmediata al deshabilitar un usuario</w:t>
            </w:r>
          </w:p>
        </w:tc>
      </w:tr>
      <w:tr>
        <w:trPr>
          <w:cantSplit/>
        </w:trPr>
        <w:tc>
          <w:tcPr>
            <w:tcW w:type="dxa" w:w="248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Entradas</w:t>
            </w:r>
          </w:p>
        </w:tc>
        <w:tc>
          <w:tcPr>
            <w:tcW w:type="dxa" w:w="745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Validación 400, campos desconocidos, JSON inválido, límite de 72 bytes de bcrypt</w:t>
            </w:r>
          </w:p>
        </w:tc>
      </w:tr>
      <w:tr>
        <w:trPr>
          <w:cantSplit/>
        </w:trPr>
        <w:tc>
          <w:tcPr>
            <w:tcW w:type="dxa" w:w="248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Integridad</w:t>
            </w:r>
          </w:p>
        </w:tc>
        <w:tc>
          <w:tcPr>
            <w:tcW w:type="dxa" w:w="745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Duplicados 409, recursos inexistentes, acciones vinculadas a casos de otro cliente</w:t>
            </w:r>
          </w:p>
        </w:tc>
      </w:tr>
      <w:tr>
        <w:trPr>
          <w:cantSplit/>
        </w:trPr>
        <w:tc>
          <w:tcPr>
            <w:tcW w:type="dxa" w:w="248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Concurrencia</w:t>
            </w:r>
          </w:p>
        </w:tc>
        <w:tc>
          <w:tcPr>
            <w:tcW w:type="dxa" w:w="745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Versión obsoleta y transiciones no permitidas rechazadas con 409</w:t>
            </w:r>
          </w:p>
        </w:tc>
      </w:tr>
      <w:tr>
        <w:trPr>
          <w:cantSplit/>
        </w:trPr>
        <w:tc>
          <w:tcPr>
            <w:tcW w:type="dxa" w:w="248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Riesgo</w:t>
            </w:r>
          </w:p>
        </w:tc>
        <w:tc>
          <w:tcPr>
            <w:tcW w:type="dxa" w:w="745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Topes, ventana de 30 días, SLA, fechas futuras y umbrales 40/70</w:t>
            </w:r>
          </w:p>
        </w:tc>
      </w:tr>
      <w:tr>
        <w:trPr>
          <w:cantSplit/>
        </w:trPr>
        <w:tc>
          <w:tcPr>
            <w:tcW w:type="dxa" w:w="2484"/>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Outbox</w:t>
            </w:r>
          </w:p>
        </w:tc>
        <w:tc>
          <w:tcPr>
            <w:tcW w:type="dxa" w:w="7452"/>
            <w:tcBorders>
              <w:top w:val="single" w:color="CFD7E0" w:sz="4"/>
              <w:left w:val="single" w:color="CFD7E0" w:sz="4"/>
              <w:bottom w:val="single" w:color="CFD7E0" w:sz="4"/>
              <w:right w:val="single" w:color="CFD7E0" w:sz="4"/>
            </w:tcBorders>
            <w:shd w:fill="F2F5F8" w:color="auto" w:val="clear"/>
            <w:tcMar>
              <w:top w:type="dxa" w:w="70"/>
              <w:left w:type="dxa" w:w="110"/>
              <w:bottom w:type="dxa" w:w="70"/>
              <w:right w:type="dxa" w:w="110"/>
            </w:tcMar>
          </w:tcPr>
          <w:p>
            <w:pPr>
              <w:spacing w:line="252"/>
            </w:pPr>
            <w:r>
              <w:rPr>
                <w:rFonts w:ascii="Arial" w:cs="Arial" w:eastAsia="Arial" w:hAnsi="Arial"/>
                <w:sz w:val="18"/>
                <w:szCs w:val="18"/>
              </w:rPr>
              <w:t xml:space="preserve">Caídas antes y después de escribir en MongoDB sin pérdida ni duplicados</w:t>
            </w:r>
          </w:p>
        </w:tc>
      </w:tr>
      <w:tr>
        <w:trPr>
          <w:cantSplit/>
        </w:trPr>
        <w:tc>
          <w:tcPr>
            <w:tcW w:type="dxa" w:w="2484"/>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Gestión y analítica</w:t>
            </w:r>
          </w:p>
        </w:tc>
        <w:tc>
          <w:tcPr>
            <w:tcW w:type="dxa" w:w="7452"/>
            <w:tcBorders>
              <w:top w:val="single" w:color="CFD7E0" w:sz="4"/>
              <w:left w:val="single" w:color="CFD7E0" w:sz="4"/>
              <w:bottom w:val="single" w:color="CFD7E0" w:sz="4"/>
              <w:right w:val="single" w:color="CFD7E0" w:sz="4"/>
            </w:tcBorders>
            <w:shd w:fill="FFFFFF" w:color="auto" w:val="clear"/>
            <w:tcMar>
              <w:top w:type="dxa" w:w="70"/>
              <w:left w:type="dxa" w:w="110"/>
              <w:bottom w:type="dxa" w:w="70"/>
              <w:right w:type="dxa" w:w="110"/>
            </w:tcMar>
          </w:tcPr>
          <w:p>
            <w:pPr>
              <w:spacing w:line="252"/>
            </w:pPr>
            <w:r>
              <w:rPr>
                <w:rFonts w:ascii="Arial" w:cs="Arial" w:eastAsia="Arial" w:hAnsi="Arial"/>
                <w:sz w:val="18"/>
                <w:szCs w:val="18"/>
              </w:rPr>
              <w:t xml:space="preserve">Panel, alertas, agregaciones, CSV, gestión de usuarios y servicios, versionado del API y CSP</w:t>
            </w:r>
          </w:p>
        </w:tc>
      </w:tr>
    </w:tbl>
    <w:p>
      <w:pPr>
        <w:spacing w:after="120"/>
      </w:pPr>
    </w:p>
    <w:p>
      <w:pPr>
        <w:spacing w:after="120" w:line="288"/>
      </w:pPr>
      <w:r>
        <w:rPr>
          <w:rFonts w:ascii="Arial" w:cs="Arial" w:eastAsia="Arial" w:hAnsi="Arial"/>
        </w:rPr>
        <w:t xml:space="preserve">Además, se recorrió la interfaz completa en Chromium (escritorio y móvil, modo claro y oscuro) sin errores de consola, comprobando el ciclo 50 → 40 del puntaje, el escape de HTML en notas y las restricciones del rol agente.</w:t>
      </w:r>
    </w:p>
    <w:p>
      <w:pPr>
        <w:pStyle w:val="Heading2"/>
      </w:pPr>
      <w:r>
        <w:rPr>
          <w:rFonts w:ascii="Arial" w:cs="Arial" w:eastAsia="Arial" w:hAnsi="Arial"/>
        </w:rPr>
        <w:t xml:space="preserve">Comprobación pendiente en el entorno de entrega</w:t>
      </w:r>
    </w:p>
    <w:p>
      <w:pPr>
        <w:spacing w:after="120" w:line="288"/>
      </w:pPr>
      <w:r>
        <w:rPr>
          <w:rFonts w:ascii="Arial" w:cs="Arial" w:eastAsia="Arial" w:hAnsi="Arial"/>
        </w:rPr>
        <w:t xml:space="preserve">Las pruebas automáticas no sustituyen la ejecución con bases reales. El paquete incluye una prueba de integración para bases cuyo nombre termine en </w:t>
      </w:r>
      <w:r>
        <w:rPr>
          <w:rFonts w:ascii="Consolas" w:cs="Consolas" w:eastAsia="Consolas" w:hAnsi="Consolas"/>
          <w:color w:val="0F2A47"/>
          <w:sz w:val="19"/>
          <w:szCs w:val="19"/>
        </w:rPr>
        <w:t xml:space="preserve">_test</w:t>
      </w:r>
      <w:r>
        <w:rPr>
          <w:rFonts w:ascii="Arial" w:cs="Arial" w:eastAsia="Arial" w:hAnsi="Arial"/>
        </w:rPr>
        <w:t xml:space="preserve"> (</w:t>
      </w:r>
      <w:r>
        <w:rPr>
          <w:rFonts w:ascii="Consolas" w:cs="Consolas" w:eastAsia="Consolas" w:hAnsi="Consolas"/>
          <w:color w:val="0F2A47"/>
          <w:sz w:val="19"/>
          <w:szCs w:val="19"/>
        </w:rPr>
        <w:t xml:space="preserve">RUN_DB_INTEGRATION=1 npm run test:integration</w:t>
      </w:r>
      <w:r>
        <w:rPr>
          <w:rFonts w:ascii="Arial" w:cs="Arial" w:eastAsia="Arial" w:hAnsi="Arial"/>
        </w:rPr>
        <w:t xml:space="preserve">). La evidencia de persistencia en SQL Server y MongoDB debe obtenerse al iniciar el modo completo en el equipo de evaluación.</w:t>
      </w:r>
    </w:p>
    <w:p>
      <w:pPr>
        <w:pStyle w:val="Heading1"/>
        <w:pageBreakBefore/>
      </w:pPr>
      <w:r>
        <w:rPr>
          <w:rFonts w:ascii="Arial" w:cs="Arial" w:eastAsia="Arial" w:hAnsi="Arial"/>
        </w:rPr>
        <w:t xml:space="preserve">12 Conclusiones y mejoras futuras</w:t>
      </w:r>
    </w:p>
    <w:p>
      <w:pPr>
        <w:pStyle w:val="Heading2"/>
      </w:pPr>
      <w:r>
        <w:rPr>
          <w:rFonts w:ascii="Arial" w:cs="Arial" w:eastAsia="Arial" w:hAnsi="Arial"/>
        </w:rPr>
        <w:t xml:space="preserve">Conclusiones</w:t>
      </w:r>
    </w:p>
    <w:p>
      <w:pPr>
        <w:pStyle w:val="ListParagraph"/>
        <w:numPr>
          <w:ilvl w:val="0"/>
          <w:numId w:val="4"/>
        </w:numPr>
        <w:spacing w:after="60" w:line="276"/>
      </w:pPr>
      <w:r>
        <w:rPr>
          <w:rFonts w:ascii="Arial" w:cs="Arial" w:eastAsia="Arial" w:hAnsi="Arial"/>
        </w:rPr>
        <w:t xml:space="preserve">FugaCliente implementa el flujo completo de registrar una experiencia de atención, explicar su prioridad y organizar un seguimiento, resolviendo un problema de negocio concreto.</w:t>
      </w:r>
    </w:p>
    <w:p>
      <w:pPr>
        <w:pStyle w:val="ListParagraph"/>
        <w:numPr>
          <w:ilvl w:val="0"/>
          <w:numId w:val="4"/>
        </w:numPr>
        <w:spacing w:after="60" w:line="276"/>
      </w:pPr>
      <w:r>
        <w:rPr>
          <w:rFonts w:ascii="Arial" w:cs="Arial" w:eastAsia="Arial" w:hAnsi="Arial"/>
        </w:rPr>
        <w:t xml:space="preserve">La arquitectura en capas con inyección de dependencias permite probar la lógica sin bases instaladas y mantener cada responsabilidad en un solo lugar.</w:t>
      </w:r>
    </w:p>
    <w:p>
      <w:pPr>
        <w:pStyle w:val="ListParagraph"/>
        <w:numPr>
          <w:ilvl w:val="0"/>
          <w:numId w:val="4"/>
        </w:numPr>
        <w:spacing w:after="60" w:line="276"/>
      </w:pPr>
      <w:r>
        <w:rPr>
          <w:rFonts w:ascii="Arial" w:cs="Arial" w:eastAsia="Arial" w:hAnsi="Arial"/>
        </w:rPr>
        <w:t xml:space="preserve">La persistencia políglota asigna a cada base lo que mejor resuelve: integridad y transacciones en SQL Server; flexibilidad, índices y agregaciones en MongoDB.</w:t>
      </w:r>
    </w:p>
    <w:p>
      <w:pPr>
        <w:pStyle w:val="ListParagraph"/>
        <w:numPr>
          <w:ilvl w:val="0"/>
          <w:numId w:val="4"/>
        </w:numPr>
        <w:spacing w:after="60" w:line="276"/>
      </w:pPr>
      <w:r>
        <w:rPr>
          <w:rFonts w:ascii="Arial" w:cs="Arial" w:eastAsia="Arial" w:hAnsi="Arial"/>
        </w:rPr>
        <w:t xml:space="preserve">El patrón Transactional Outbox resuelve la consistencia entre ambas bases sin transacciones distribuidas.</w:t>
      </w:r>
    </w:p>
    <w:p>
      <w:pPr>
        <w:pStyle w:val="ListParagraph"/>
        <w:numPr>
          <w:ilvl w:val="0"/>
          <w:numId w:val="4"/>
        </w:numPr>
        <w:spacing w:after="60" w:line="276"/>
      </w:pPr>
      <w:r>
        <w:rPr>
          <w:rFonts w:ascii="Arial" w:cs="Arial" w:eastAsia="Arial" w:hAnsi="Arial"/>
        </w:rPr>
        <w:t xml:space="preserve">El puntaje explicable convierte datos dispersos en decisiones concretas y comprensibles para el equipo.</w:t>
      </w:r>
    </w:p>
    <w:p>
      <w:pPr>
        <w:pStyle w:val="Heading2"/>
      </w:pPr>
      <w:r>
        <w:rPr>
          <w:rFonts w:ascii="Arial" w:cs="Arial" w:eastAsia="Arial" w:hAnsi="Arial"/>
        </w:rPr>
        <w:t xml:space="preserve">Mejoras futuras</w:t>
      </w:r>
    </w:p>
    <w:p>
      <w:pPr>
        <w:pStyle w:val="ListParagraph"/>
        <w:numPr>
          <w:ilvl w:val="0"/>
          <w:numId w:val="4"/>
        </w:numPr>
        <w:spacing w:after="60" w:line="276"/>
      </w:pPr>
      <w:r>
        <w:rPr>
          <w:rFonts w:ascii="Arial" w:cs="Arial" w:eastAsia="Arial" w:hAnsi="Arial"/>
        </w:rPr>
        <w:t xml:space="preserve">Para carteras grandes, precalcular el puntaje por lotes o en consultas agregadas, y agregar una política de limpieza del outbox procesado.</w:t>
      </w:r>
    </w:p>
    <w:p>
      <w:pPr>
        <w:pStyle w:val="ListParagraph"/>
        <w:numPr>
          <w:ilvl w:val="0"/>
          <w:numId w:val="4"/>
        </w:numPr>
        <w:spacing w:after="60" w:line="276"/>
      </w:pPr>
      <w:r>
        <w:rPr>
          <w:rFonts w:ascii="Arial" w:cs="Arial" w:eastAsia="Arial" w:hAnsi="Arial"/>
        </w:rPr>
        <w:t xml:space="preserve">Validar los pesos y umbrales con datos históricos y, más adelante, evaluar un modelo estadístico entrenado.</w:t>
      </w:r>
    </w:p>
    <w:p>
      <w:pPr>
        <w:pStyle w:val="ListParagraph"/>
        <w:numPr>
          <w:ilvl w:val="0"/>
          <w:numId w:val="4"/>
        </w:numPr>
        <w:spacing w:after="60" w:line="276"/>
      </w:pPr>
      <w:r>
        <w:rPr>
          <w:rFonts w:ascii="Arial" w:cs="Arial" w:eastAsia="Arial" w:hAnsi="Arial"/>
        </w:rPr>
        <w:t xml:space="preserve">Agregar notificaciones, recuperación de contraseña y asignación de carteras por agente.</w:t>
      </w:r>
    </w:p>
    <w:p>
      <w:pPr>
        <w:pStyle w:val="Heading1"/>
        <w:pageBreakBefore/>
      </w:pPr>
      <w:r>
        <w:rPr>
          <w:rFonts w:ascii="Arial" w:cs="Arial" w:eastAsia="Arial" w:hAnsi="Arial"/>
        </w:rPr>
        <w:t xml:space="preserve">13 Reflexión y referencias</w:t>
      </w:r>
    </w:p>
    <w:p>
      <w:pPr>
        <w:pStyle w:val="Heading2"/>
      </w:pPr>
      <w:r>
        <w:rPr>
          <w:rFonts w:ascii="Arial" w:cs="Arial" w:eastAsia="Arial" w:hAnsi="Arial"/>
        </w:rPr>
        <w:t xml:space="preserve">¿Cuál fue el mayor reto al integrar ambas bases?</w:t>
      </w:r>
    </w:p>
    <w:p>
      <w:pPr>
        <w:spacing w:after="120" w:line="288"/>
      </w:pPr>
      <w:r>
        <w:rPr>
          <w:rFonts w:ascii="Arial" w:cs="Arial" w:eastAsia="Arial" w:hAnsi="Arial"/>
        </w:rPr>
        <w:t xml:space="preserve">Mantener la consistencia cuando SQL Server confirma una operación y MongoDB todavía no está disponible. Una transacción local no cubre ambas bases, así que el outbox guarda el evento dentro de SQL y un worker lo reintenta hasta entregarlo, sin duplicarlo gracias al índice único por </w:t>
      </w:r>
      <w:r>
        <w:rPr>
          <w:rFonts w:ascii="Consolas" w:cs="Consolas" w:eastAsia="Consolas" w:hAnsi="Consolas"/>
          <w:color w:val="0F2A47"/>
          <w:sz w:val="19"/>
          <w:szCs w:val="19"/>
        </w:rPr>
        <w:t xml:space="preserve">eventId</w:t>
      </w:r>
      <w:r>
        <w:rPr>
          <w:rFonts w:ascii="Arial" w:cs="Arial" w:eastAsia="Arial" w:hAnsi="Arial"/>
        </w:rPr>
        <w:t xml:space="preserve">. Las pruebas simulan esa caída y verifican que el evento no se pierda.</w:t>
      </w:r>
    </w:p>
    <w:p>
      <w:pPr>
        <w:pStyle w:val="Heading2"/>
      </w:pPr>
      <w:r>
        <w:rPr>
          <w:rFonts w:ascii="Arial" w:cs="Arial" w:eastAsia="Arial" w:hAnsi="Arial"/>
        </w:rPr>
        <w:t xml:space="preserve">¿Cómo ayudan los middlewares?</w:t>
      </w:r>
    </w:p>
    <w:p>
      <w:pPr>
        <w:spacing w:after="120" w:line="288"/>
      </w:pPr>
      <w:r>
        <w:rPr>
          <w:rFonts w:ascii="Arial" w:cs="Arial" w:eastAsia="Arial" w:hAnsi="Arial"/>
        </w:rPr>
        <w:t xml:space="preserve">Concentran en un solo lugar la seguridad, la autenticación, los permisos, la validación y el logging. Las rutas quedan limpias y cada controlador se enfoca en su recurso; si cambia una regla de validación o el formato de error, se ajusta una sola vez. La misma idea guía toda la arquitectura: cada capa tiene una única responsabilidad.</w:t>
      </w:r>
    </w:p>
    <w:p>
      <w:pPr>
        <w:pStyle w:val="Heading2"/>
      </w:pPr>
      <w:r>
        <w:rPr>
          <w:rFonts w:ascii="Arial" w:cs="Arial" w:eastAsia="Arial" w:hAnsi="Arial"/>
        </w:rPr>
        <w:t xml:space="preserve">¿Qué parte del flujo HTTP resulta más clara?</w:t>
      </w:r>
    </w:p>
    <w:p>
      <w:pPr>
        <w:spacing w:after="120" w:line="288"/>
      </w:pPr>
      <w:r>
        <w:rPr>
          <w:rFonts w:ascii="Arial" w:cs="Arial" w:eastAsia="Arial" w:hAnsi="Arial"/>
        </w:rPr>
        <w:t xml:space="preserve">El recorrido completo: la petición recibe un identificador, pasa por seguridad, sesión y validación, llega al controlador, el servicio aplica la regla de negocio, el repositorio ejecuta el procedimiento y el servidor responde con un código y JSON; al final se registra el log. Seguir ese camino permite ubicar con precisión en qué capa corregir una falla de entrada, de negocio o de persistencia.</w:t>
      </w:r>
    </w:p>
    <w:p>
      <w:pPr>
        <w:pStyle w:val="Heading2"/>
      </w:pPr>
      <w:r>
        <w:rPr>
          <w:rFonts w:ascii="Arial" w:cs="Arial" w:eastAsia="Arial" w:hAnsi="Arial"/>
        </w:rPr>
        <w:t xml:space="preserve">Referencias técnicas</w:t>
      </w:r>
    </w:p>
    <w:p>
      <w:pPr>
        <w:spacing w:after="80"/>
        <w:ind w:left="360" w:hanging="360"/>
      </w:pPr>
      <w:r>
        <w:rPr>
          <w:rFonts w:ascii="Arial" w:cs="Arial" w:eastAsia="Arial" w:hAnsi="Arial"/>
          <w:sz w:val="19"/>
          <w:szCs w:val="19"/>
        </w:rPr>
        <w:t xml:space="preserve">[1] Express. Error handling. https://expressjs.com/en/guide/error-handling.html</w:t>
      </w:r>
    </w:p>
    <w:p>
      <w:pPr>
        <w:spacing w:after="80"/>
        <w:ind w:left="360" w:hanging="360"/>
      </w:pPr>
      <w:r>
        <w:rPr>
          <w:rFonts w:ascii="Arial" w:cs="Arial" w:eastAsia="Arial" w:hAnsi="Arial"/>
          <w:sz w:val="19"/>
          <w:szCs w:val="19"/>
        </w:rPr>
        <w:t xml:space="preserve">[2] Microsoft Learn. CREATE PROCEDURE (Transact-SQL). https://learn.microsoft.com/en-us/sql/t-sql/statements/create-procedure-transact-sql</w:t>
      </w:r>
    </w:p>
    <w:p>
      <w:pPr>
        <w:spacing w:after="80"/>
        <w:ind w:left="360" w:hanging="360"/>
      </w:pPr>
      <w:r>
        <w:rPr>
          <w:rFonts w:ascii="Arial" w:cs="Arial" w:eastAsia="Arial" w:hAnsi="Arial"/>
          <w:sz w:val="19"/>
          <w:szCs w:val="19"/>
        </w:rPr>
        <w:t xml:space="preserve">[3] Microsoft Learn. CREATE VIEW (Transact-SQL). https://learn.microsoft.com/en-us/sql/t-sql/statements/create-view-transact-sql</w:t>
      </w:r>
    </w:p>
    <w:p>
      <w:pPr>
        <w:spacing w:after="80"/>
        <w:ind w:left="360" w:hanging="360"/>
      </w:pPr>
      <w:r>
        <w:rPr>
          <w:rFonts w:ascii="Arial" w:cs="Arial" w:eastAsia="Arial" w:hAnsi="Arial"/>
          <w:sz w:val="19"/>
          <w:szCs w:val="19"/>
        </w:rPr>
        <w:t xml:space="preserve">[4] node-mssql. Cliente de SQL Server para Node.js. https://github.com/tediousjs/node-mssql</w:t>
      </w:r>
    </w:p>
    <w:p>
      <w:pPr>
        <w:spacing w:after="80"/>
        <w:ind w:left="360" w:hanging="360"/>
      </w:pPr>
      <w:r>
        <w:rPr>
          <w:rFonts w:ascii="Arial" w:cs="Arial" w:eastAsia="Arial" w:hAnsi="Arial"/>
          <w:sz w:val="19"/>
          <w:szCs w:val="19"/>
        </w:rPr>
        <w:t xml:space="preserve">[5] MongoDB. Indexes. https://www.mongodb.com/docs/drivers/node/current/indexes/</w:t>
      </w:r>
    </w:p>
    <w:p>
      <w:pPr>
        <w:spacing w:after="80"/>
        <w:ind w:left="360" w:hanging="360"/>
      </w:pPr>
      <w:r>
        <w:rPr>
          <w:rFonts w:ascii="Arial" w:cs="Arial" w:eastAsia="Arial" w:hAnsi="Arial"/>
          <w:sz w:val="19"/>
          <w:szCs w:val="19"/>
        </w:rPr>
        <w:t xml:space="preserve">[6] MongoDB. $facet (aggregation). https://www.mongodb.com/docs/manual/reference/operator/aggregation/facet/</w:t>
      </w:r>
    </w:p>
    <w:p>
      <w:pPr>
        <w:spacing w:after="80"/>
        <w:ind w:left="360" w:hanging="360"/>
      </w:pPr>
      <w:r>
        <w:rPr>
          <w:rFonts w:ascii="Arial" w:cs="Arial" w:eastAsia="Arial" w:hAnsi="Arial"/>
          <w:sz w:val="19"/>
          <w:szCs w:val="19"/>
        </w:rPr>
        <w:t xml:space="preserve">[7] C. Richardson. Pattern: Transactional outbox. https://microservices.io/patterns/data/transactional-outbox.html</w:t>
      </w:r>
    </w:p>
    <w:p>
      <w:pPr>
        <w:spacing w:after="80"/>
        <w:ind w:left="360" w:hanging="360"/>
      </w:pPr>
      <w:r>
        <w:rPr>
          <w:rFonts w:ascii="Arial" w:cs="Arial" w:eastAsia="Arial" w:hAnsi="Arial"/>
          <w:sz w:val="19"/>
          <w:szCs w:val="19"/>
        </w:rPr>
        <w:t xml:space="preserve">[8] M. Fowler. Richardson Maturity Model. https://martinfowler.com/articles/richardsonMaturityModel.html</w:t>
      </w:r>
    </w:p>
    <w:p>
      <w:pPr>
        <w:spacing w:after="120"/>
      </w:pPr>
    </w:p>
    <w:p>
      <w:pPr>
        <w:spacing w:after="120" w:line="288"/>
      </w:pPr>
      <w:r>
        <w:rPr>
          <w:rFonts w:ascii="Arial" w:cs="Arial" w:eastAsia="Arial" w:hAnsi="Arial"/>
        </w:rPr>
        <w:t xml:space="preserve">Los clientes, reclamos y acciones incluidos en la aplicación son ficticios.</w:t>
      </w:r>
    </w:p>
    <w:sectPr>
      <w:headerReference w:type="default" r:id="rId7"/>
      <w:footerReference w:type="default" r:id="rId8"/>
      <w:pgSz w:w="12240" w:h="15840" w:orient="portrait"/>
      <w:pgMar w:top="1100" w:right="1152" w:bottom="1050" w:left="1152" w:header="450" w:footer="4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E6B7D"/>
        <w:sz w:val="16"/>
        <w:szCs w:val="16"/>
      </w:rPr>
      <w:t xml:space="preserve">Página </w:t>
    </w:r>
    <w:r>
      <w:rPr>
        <w:rFonts w:ascii="Arial" w:cs="Arial" w:eastAsia="Arial" w:hAnsi="Arial"/>
        <w:color w:val="5E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7E0" w:sz="4" w:space="4"/>
      </w:pBdr>
      <w:tabs>
        <w:tab w:val="right" w:pos="9936"/>
      </w:tabs>
    </w:pPr>
    <w:r>
      <w:rPr>
        <w:rFonts w:ascii="Arial" w:cs="Arial" w:eastAsia="Arial" w:hAnsi="Arial"/>
        <w:b/>
        <w:bCs/>
        <w:color w:val="0F2A47"/>
        <w:sz w:val="16"/>
        <w:szCs w:val="16"/>
      </w:rPr>
      <w:t xml:space="preserve">FugaCliente</w:t>
    </w:r>
    <w:r>
      <w:rPr>
        <w:rFonts w:ascii="Arial" w:cs="Arial" w:eastAsia="Arial" w:hAnsi="Arial"/>
        <w:color w:val="5E6B7D"/>
        <w:sz w:val="16"/>
        <w:szCs w:val="16"/>
      </w:rPr>
      <w:t xml:space="preserve">	Desarrollo Web Full Stack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Arial" w:cs="Arial" w:eastAsia="Arial" w:hAnsi="Arial"/>
      <w:b/>
      <w:bCs/>
      <w:color w:val="0F2A47"/>
      <w:sz w:val="34"/>
      <w:szCs w:val="34"/>
    </w:rPr>
  </w:style>
  <w:style w:type="paragraph" w:styleId="Heading2">
    <w:name w:val="Heading 2"/>
    <w:basedOn w:val="Normal"/>
    <w:next w:val="Normal"/>
    <w:qFormat/>
    <w:pPr>
      <w:keepNext/>
      <w:spacing w:after="100" w:before="260"/>
      <w:outlineLvl w:val="1"/>
    </w:pPr>
    <w:rPr>
      <w:rFonts w:ascii="Arial" w:cs="Arial" w:eastAsia="Arial" w:hAnsi="Arial"/>
      <w:b/>
      <w:bCs/>
      <w:color w:val="0E8174"/>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0F2A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91e2285edfc6f3084b25e755e6a59d89ca9fb4.png"/><Relationship Id="rId10" Type="http://schemas.openxmlformats.org/officeDocument/2006/relationships/image" Target="media/88c4eece2147dab6d6e0d550aaef938326f1f5f6.png"/><Relationship Id="rId11" Type="http://schemas.openxmlformats.org/officeDocument/2006/relationships/image" Target="media/61d0f0a0ff286fa7f82d96c51439e0ba7c59a17f.png"/><Relationship Id="rId12" Type="http://schemas.openxmlformats.org/officeDocument/2006/relationships/image" Target="media/dce970d0b344c6f08c1b2d80f677280fe401a3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FugaCliente</dc:title>
  <dc:creator>Equipo FugaCliente</dc:creator>
  <cp:lastModifiedBy>Un-named</cp:lastModifiedBy>
  <cp:revision>1</cp:revision>
  <dcterms:created xsi:type="dcterms:W3CDTF">2026-10-17T21:24:31.945Z</dcterms:created>
  <dcterms:modified xsi:type="dcterms:W3CDTF">2026-10-17T21:24:31.945Z</dcterms:modified>
</cp:coreProperties>
</file>

<file path=docProps/custom.xml><?xml version="1.0" encoding="utf-8"?>
<Properties xmlns="http://schemas.openxmlformats.org/officeDocument/2006/custom-properties" xmlns:vt="http://schemas.openxmlformats.org/officeDocument/2006/docPropsVTypes"/>
</file>