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4057"/>
          <w:sz w:val="56"/>
        </w:rPr>
        <w:t>Cross-Validation Report</w:t>
      </w:r>
    </w:p>
    <w:p>
      <w:pPr>
        <w:jc w:val="center"/>
      </w:pPr>
      <w:r>
        <w:rPr>
          <w:rFonts w:ascii="Calibri" w:hAnsi="Calibri"/>
          <w:color w:val="2E4057"/>
          <w:sz w:val="32"/>
        </w:rPr>
        <w:t>Independent Calculator vs. Trevion's Spreadsheet</w:t>
      </w:r>
    </w:p>
    <w:p/>
    <w:p>
      <w:pPr>
        <w:jc w:val="center"/>
      </w:pPr>
      <w:r>
        <w:rPr>
          <w:color w:val="CCCCCC"/>
        </w:rPr>
        <w:t>____________________________________________________________</w:t>
      </w:r>
    </w:p>
    <w:p/>
    <w:p>
      <w:pPr>
        <w:jc w:val="center"/>
      </w:pPr>
      <w:r>
        <w:rPr>
          <w:rFonts w:ascii="Calibri" w:hAnsi="Calibri"/>
          <w:b/>
          <w:color w:val="27AE60"/>
          <w:sz w:val="40"/>
        </w:rPr>
        <w:t>Same Inputs  →  Same Results</w:t>
      </w:r>
    </w:p>
    <w:p/>
    <w:p/>
    <w:p>
      <w:pPr>
        <w:jc w:val="center"/>
      </w:pPr>
      <w:r>
        <w:rPr>
          <w:rFonts w:ascii="Calibri" w:hAnsi="Calibri"/>
          <w:color w:val="2E4057"/>
          <w:sz w:val="28"/>
        </w:rPr>
        <w:t>NAU ASCE Concrete Canoe 2026</w:t>
      </w:r>
    </w:p>
    <w:p>
      <w:pPr>
        <w:jc w:val="center"/>
      </w:pPr>
      <w:r>
        <w:rPr>
          <w:rFonts w:ascii="Calibri" w:hAnsi="Calibri"/>
          <w:b/>
          <w:color w:val="F39C12"/>
          <w:sz w:val="36"/>
        </w:rPr>
        <w:t>PLUTO JACKS</w:t>
      </w:r>
    </w:p>
    <w:p/>
    <w:p/>
    <w:p>
      <w:pPr>
        <w:jc w:val="center"/>
      </w:pPr>
      <w:r>
        <w:rPr>
          <w:rFonts w:ascii="Calibri" w:hAnsi="Calibri"/>
          <w:color w:val="888888"/>
          <w:sz w:val="22"/>
        </w:rPr>
        <w:t>February 12, 2026</w:t>
      </w:r>
    </w:p>
    <w:p>
      <w:pPr>
        <w:jc w:val="center"/>
      </w:pPr>
      <w:r>
        <w:rPr>
          <w:rFonts w:ascii="Calibri" w:hAnsi="Calibri"/>
          <w:color w:val="888888"/>
          <w:sz w:val="22"/>
        </w:rPr>
        <w:t>Prepared by NAU Structural Analysis Team</w:t>
      </w:r>
    </w:p>
    <w:p>
      <w:r>
        <w:br w:type="page"/>
      </w:r>
    </w:p>
    <w:p>
      <w:pPr>
        <w:pStyle w:val="Heading1"/>
      </w:pPr>
      <w:r>
        <w:rPr>
          <w:rFonts w:ascii="Calibri" w:hAnsi="Calibri"/>
          <w:color w:val="2E4057"/>
        </w:rPr>
        <w:t>1. Input Verification</w:t>
      </w:r>
    </w:p>
    <w:p>
      <w:r>
        <w:rPr>
          <w:rFonts w:ascii="Calibri" w:hAnsi="Calibri"/>
          <w:sz w:val="20"/>
        </w:rPr>
        <w:t>The following table confirms that identical inputs were used in both Trevion's Excel spreadsheet and our independent Python calculator. Every parameter matches exactly.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68"/>
            <w:shd w:fill="2E4057" w:val="clear"/>
          </w:tcPr>
          <w:p>
            <w:pPr>
              <w:spacing w:before="20" w:after="20"/>
              <w:jc w:val="center"/>
            </w:pPr>
            <w:r/>
            <w:r>
              <w:rPr>
                <w:rFonts w:ascii="Calibri" w:hAnsi="Calibri"/>
                <w:b/>
                <w:color w:val="FFFFFF"/>
                <w:sz w:val="18"/>
              </w:rPr>
              <w:t>Parameter</w:t>
            </w:r>
          </w:p>
        </w:tc>
        <w:tc>
          <w:tcPr>
            <w:tcW w:type="dxa" w:w="2592"/>
            <w:shd w:fill="2E4057" w:val="clear"/>
          </w:tcPr>
          <w:p>
            <w:pPr>
              <w:spacing w:before="20" w:after="20"/>
              <w:jc w:val="center"/>
            </w:pPr>
            <w:r/>
            <w:r>
              <w:rPr>
                <w:rFonts w:ascii="Calibri" w:hAnsi="Calibri"/>
                <w:b/>
                <w:color w:val="FFFFFF"/>
                <w:sz w:val="18"/>
              </w:rPr>
              <w:t>Trevion's Excel</w:t>
            </w:r>
          </w:p>
        </w:tc>
        <w:tc>
          <w:tcPr>
            <w:tcW w:type="dxa" w:w="2592"/>
            <w:shd w:fill="2E4057" w:val="clear"/>
          </w:tcPr>
          <w:p>
            <w:pPr>
              <w:spacing w:before="20" w:after="20"/>
              <w:jc w:val="center"/>
            </w:pPr>
            <w:r/>
            <w:r>
              <w:rPr>
                <w:rFonts w:ascii="Calibri" w:hAnsi="Calibri"/>
                <w:b/>
                <w:color w:val="FFFFFF"/>
                <w:sz w:val="18"/>
              </w:rPr>
              <w:t>Our Calculator</w:t>
            </w:r>
          </w:p>
        </w:tc>
        <w:tc>
          <w:tcPr>
            <w:tcW w:type="dxa" w:w="1152"/>
            <w:shd w:fill="2E4057" w:val="clear"/>
          </w:tcPr>
          <w:p>
            <w:pPr>
              <w:spacing w:before="20" w:after="20"/>
              <w:jc w:val="center"/>
            </w:pPr>
            <w:r/>
            <w:r>
              <w:rPr>
                <w:rFonts w:ascii="Calibri" w:hAnsi="Calibri"/>
                <w:b/>
                <w:color w:val="FFFFFF"/>
                <w:sz w:val="18"/>
              </w:rPr>
              <w:t>Match?</w:t>
            </w:r>
          </w:p>
        </w:tc>
      </w:tr>
      <w:tr>
        <w:tc>
          <w:tcPr>
            <w:tcW w:type="dxa" w:w="3168"/>
          </w:tcPr>
          <w:p>
            <w:pPr>
              <w:spacing w:before="20" w:after="20"/>
              <w:jc w:val="left"/>
            </w:pPr>
            <w:r/>
            <w:r>
              <w:rPr>
                <w:rFonts w:ascii="Calibri" w:hAnsi="Calibri"/>
                <w:b/>
                <w:sz w:val="18"/>
              </w:rPr>
              <w:t>Hull Length</w:t>
            </w:r>
          </w:p>
        </w:tc>
        <w:tc>
          <w:tcPr>
            <w:tcW w:type="dxa" w:w="2592"/>
          </w:tcPr>
          <w:p>
            <w:pPr>
              <w:spacing w:before="20" w:after="20"/>
              <w:jc w:val="center"/>
            </w:pPr>
            <w:r/>
            <w:r>
              <w:rPr>
                <w:rFonts w:ascii="Calibri" w:hAnsi="Calibri"/>
                <w:sz w:val="18"/>
              </w:rPr>
              <w:t>216 in (18 ft)</w:t>
            </w:r>
          </w:p>
        </w:tc>
        <w:tc>
          <w:tcPr>
            <w:tcW w:type="dxa" w:w="2592"/>
          </w:tcPr>
          <w:p>
            <w:pPr>
              <w:spacing w:before="20" w:after="20"/>
              <w:jc w:val="center"/>
            </w:pPr>
            <w:r/>
            <w:r>
              <w:rPr>
                <w:rFonts w:ascii="Calibri" w:hAnsi="Calibri"/>
                <w:sz w:val="18"/>
              </w:rPr>
              <w:t>216 in (18 ft)</w:t>
            </w:r>
          </w:p>
        </w:tc>
        <w:tc>
          <w:tcPr>
            <w:tcW w:type="dxa" w:w="1152"/>
            <w:shd w:fill="D5F5E3" w:val="clear"/>
          </w:tcPr>
          <w:p>
            <w:pPr>
              <w:spacing w:before="20" w:after="20"/>
              <w:jc w:val="center"/>
            </w:pPr>
            <w:r/>
            <w:r>
              <w:rPr>
                <w:rFonts w:ascii="Calibri" w:hAnsi="Calibri"/>
                <w:b/>
                <w:color w:val="27AE60"/>
                <w:sz w:val="18"/>
              </w:rPr>
              <w:t>Yes</w:t>
            </w:r>
          </w:p>
        </w:tc>
      </w:tr>
      <w:tr>
        <w:tc>
          <w:tcPr>
            <w:tcW w:type="dxa" w:w="3168"/>
            <w:shd w:fill="F8F9FA" w:val="clear"/>
          </w:tcPr>
          <w:p>
            <w:pPr>
              <w:spacing w:before="20" w:after="20"/>
              <w:jc w:val="left"/>
            </w:pPr>
            <w:r/>
            <w:r>
              <w:rPr>
                <w:rFonts w:ascii="Calibri" w:hAnsi="Calibri"/>
                <w:b/>
                <w:sz w:val="18"/>
              </w:rPr>
              <w:t>Hull Beam</w:t>
            </w:r>
          </w:p>
        </w:tc>
        <w:tc>
          <w:tcPr>
            <w:tcW w:type="dxa" w:w="2592"/>
            <w:shd w:fill="F8F9FA" w:val="clear"/>
          </w:tcPr>
          <w:p>
            <w:pPr>
              <w:spacing w:before="20" w:after="20"/>
              <w:jc w:val="center"/>
            </w:pPr>
            <w:r/>
            <w:r>
              <w:rPr>
                <w:rFonts w:ascii="Calibri" w:hAnsi="Calibri"/>
                <w:sz w:val="18"/>
              </w:rPr>
              <w:t>30 in</w:t>
            </w:r>
          </w:p>
        </w:tc>
        <w:tc>
          <w:tcPr>
            <w:tcW w:type="dxa" w:w="2592"/>
            <w:shd w:fill="F8F9FA" w:val="clear"/>
          </w:tcPr>
          <w:p>
            <w:pPr>
              <w:spacing w:before="20" w:after="20"/>
              <w:jc w:val="center"/>
            </w:pPr>
            <w:r/>
            <w:r>
              <w:rPr>
                <w:rFonts w:ascii="Calibri" w:hAnsi="Calibri"/>
                <w:sz w:val="18"/>
              </w:rPr>
              <w:t>30 in</w:t>
            </w:r>
          </w:p>
        </w:tc>
        <w:tc>
          <w:tcPr>
            <w:tcW w:type="dxa" w:w="1152"/>
            <w:shd w:fill="F8F9FA" w:val="clear"/>
            <w:shd w:fill="D5F5E3" w:val="clear"/>
          </w:tcPr>
          <w:p>
            <w:pPr>
              <w:spacing w:before="20" w:after="20"/>
              <w:jc w:val="center"/>
            </w:pPr>
            <w:r/>
            <w:r>
              <w:rPr>
                <w:rFonts w:ascii="Calibri" w:hAnsi="Calibri"/>
                <w:b/>
                <w:color w:val="27AE60"/>
                <w:sz w:val="18"/>
              </w:rPr>
              <w:t>Yes</w:t>
            </w:r>
          </w:p>
        </w:tc>
      </w:tr>
      <w:tr>
        <w:tc>
          <w:tcPr>
            <w:tcW w:type="dxa" w:w="3168"/>
          </w:tcPr>
          <w:p>
            <w:pPr>
              <w:spacing w:before="20" w:after="20"/>
              <w:jc w:val="left"/>
            </w:pPr>
            <w:r/>
            <w:r>
              <w:rPr>
                <w:rFonts w:ascii="Calibri" w:hAnsi="Calibri"/>
                <w:b/>
                <w:sz w:val="18"/>
              </w:rPr>
              <w:t>Half-Width (a)</w:t>
            </w:r>
          </w:p>
        </w:tc>
        <w:tc>
          <w:tcPr>
            <w:tcW w:type="dxa" w:w="2592"/>
          </w:tcPr>
          <w:p>
            <w:pPr>
              <w:spacing w:before="20" w:after="20"/>
              <w:jc w:val="center"/>
            </w:pPr>
            <w:r/>
            <w:r>
              <w:rPr>
                <w:rFonts w:ascii="Calibri" w:hAnsi="Calibri"/>
                <w:sz w:val="18"/>
              </w:rPr>
              <w:t>15 in</w:t>
            </w:r>
          </w:p>
        </w:tc>
        <w:tc>
          <w:tcPr>
            <w:tcW w:type="dxa" w:w="2592"/>
          </w:tcPr>
          <w:p>
            <w:pPr>
              <w:spacing w:before="20" w:after="20"/>
              <w:jc w:val="center"/>
            </w:pPr>
            <w:r/>
            <w:r>
              <w:rPr>
                <w:rFonts w:ascii="Calibri" w:hAnsi="Calibri"/>
                <w:sz w:val="18"/>
              </w:rPr>
              <w:t>15 in (= 30/2)</w:t>
            </w:r>
          </w:p>
        </w:tc>
        <w:tc>
          <w:tcPr>
            <w:tcW w:type="dxa" w:w="1152"/>
            <w:shd w:fill="D5F5E3" w:val="clear"/>
          </w:tcPr>
          <w:p>
            <w:pPr>
              <w:spacing w:before="20" w:after="20"/>
              <w:jc w:val="center"/>
            </w:pPr>
            <w:r/>
            <w:r>
              <w:rPr>
                <w:rFonts w:ascii="Calibri" w:hAnsi="Calibri"/>
                <w:b/>
                <w:color w:val="27AE60"/>
                <w:sz w:val="18"/>
              </w:rPr>
              <w:t>Yes</w:t>
            </w:r>
          </w:p>
        </w:tc>
      </w:tr>
      <w:tr>
        <w:tc>
          <w:tcPr>
            <w:tcW w:type="dxa" w:w="3168"/>
            <w:shd w:fill="F8F9FA" w:val="clear"/>
          </w:tcPr>
          <w:p>
            <w:pPr>
              <w:spacing w:before="20" w:after="20"/>
              <w:jc w:val="left"/>
            </w:pPr>
            <w:r/>
            <w:r>
              <w:rPr>
                <w:rFonts w:ascii="Calibri" w:hAnsi="Calibri"/>
                <w:b/>
                <w:sz w:val="18"/>
              </w:rPr>
              <w:t>Hull Depth</w:t>
            </w:r>
          </w:p>
        </w:tc>
        <w:tc>
          <w:tcPr>
            <w:tcW w:type="dxa" w:w="2592"/>
            <w:shd w:fill="F8F9FA" w:val="clear"/>
          </w:tcPr>
          <w:p>
            <w:pPr>
              <w:spacing w:before="20" w:after="20"/>
              <w:jc w:val="center"/>
            </w:pPr>
            <w:r/>
            <w:r>
              <w:rPr>
                <w:rFonts w:ascii="Calibri" w:hAnsi="Calibri"/>
                <w:sz w:val="18"/>
              </w:rPr>
              <w:t>18 in</w:t>
            </w:r>
          </w:p>
        </w:tc>
        <w:tc>
          <w:tcPr>
            <w:tcW w:type="dxa" w:w="2592"/>
            <w:shd w:fill="F8F9FA" w:val="clear"/>
          </w:tcPr>
          <w:p>
            <w:pPr>
              <w:spacing w:before="20" w:after="20"/>
              <w:jc w:val="center"/>
            </w:pPr>
            <w:r/>
            <w:r>
              <w:rPr>
                <w:rFonts w:ascii="Calibri" w:hAnsi="Calibri"/>
                <w:sz w:val="18"/>
              </w:rPr>
              <w:t>18 in</w:t>
            </w:r>
          </w:p>
        </w:tc>
        <w:tc>
          <w:tcPr>
            <w:tcW w:type="dxa" w:w="1152"/>
            <w:shd w:fill="F8F9FA" w:val="clear"/>
            <w:shd w:fill="D5F5E3" w:val="clear"/>
          </w:tcPr>
          <w:p>
            <w:pPr>
              <w:spacing w:before="20" w:after="20"/>
              <w:jc w:val="center"/>
            </w:pPr>
            <w:r/>
            <w:r>
              <w:rPr>
                <w:rFonts w:ascii="Calibri" w:hAnsi="Calibri"/>
                <w:b/>
                <w:color w:val="27AE60"/>
                <w:sz w:val="18"/>
              </w:rPr>
              <w:t>Yes</w:t>
            </w:r>
          </w:p>
        </w:tc>
      </w:tr>
      <w:tr>
        <w:tc>
          <w:tcPr>
            <w:tcW w:type="dxa" w:w="3168"/>
          </w:tcPr>
          <w:p>
            <w:pPr>
              <w:spacing w:before="20" w:after="20"/>
              <w:jc w:val="left"/>
            </w:pPr>
            <w:r/>
            <w:r>
              <w:rPr>
                <w:rFonts w:ascii="Calibri" w:hAnsi="Calibri"/>
                <w:b/>
                <w:sz w:val="18"/>
              </w:rPr>
              <w:t>Wall Thickness</w:t>
            </w:r>
          </w:p>
        </w:tc>
        <w:tc>
          <w:tcPr>
            <w:tcW w:type="dxa" w:w="2592"/>
          </w:tcPr>
          <w:p>
            <w:pPr>
              <w:spacing w:before="20" w:after="20"/>
              <w:jc w:val="center"/>
            </w:pPr>
            <w:r/>
            <w:r>
              <w:rPr>
                <w:rFonts w:ascii="Calibri" w:hAnsi="Calibri"/>
                <w:sz w:val="18"/>
              </w:rPr>
              <w:t>0.5 in</w:t>
            </w:r>
          </w:p>
        </w:tc>
        <w:tc>
          <w:tcPr>
            <w:tcW w:type="dxa" w:w="2592"/>
          </w:tcPr>
          <w:p>
            <w:pPr>
              <w:spacing w:before="20" w:after="20"/>
              <w:jc w:val="center"/>
            </w:pPr>
            <w:r/>
            <w:r>
              <w:rPr>
                <w:rFonts w:ascii="Calibri" w:hAnsi="Calibri"/>
                <w:sz w:val="18"/>
              </w:rPr>
              <w:t>0.5 in</w:t>
            </w:r>
          </w:p>
        </w:tc>
        <w:tc>
          <w:tcPr>
            <w:tcW w:type="dxa" w:w="1152"/>
            <w:shd w:fill="D5F5E3" w:val="clear"/>
          </w:tcPr>
          <w:p>
            <w:pPr>
              <w:spacing w:before="20" w:after="20"/>
              <w:jc w:val="center"/>
            </w:pPr>
            <w:r/>
            <w:r>
              <w:rPr>
                <w:rFonts w:ascii="Calibri" w:hAnsi="Calibri"/>
                <w:b/>
                <w:color w:val="27AE60"/>
                <w:sz w:val="18"/>
              </w:rPr>
              <w:t>Yes</w:t>
            </w:r>
          </w:p>
        </w:tc>
      </w:tr>
      <w:tr>
        <w:tc>
          <w:tcPr>
            <w:tcW w:type="dxa" w:w="3168"/>
            <w:shd w:fill="F8F9FA" w:val="clear"/>
          </w:tcPr>
          <w:p>
            <w:pPr>
              <w:spacing w:before="20" w:after="20"/>
              <w:jc w:val="left"/>
            </w:pPr>
            <w:r/>
            <w:r>
              <w:rPr>
                <w:rFonts w:ascii="Calibri" w:hAnsi="Calibri"/>
                <w:b/>
                <w:sz w:val="18"/>
              </w:rPr>
              <w:t>Concrete Density</w:t>
            </w:r>
          </w:p>
        </w:tc>
        <w:tc>
          <w:tcPr>
            <w:tcW w:type="dxa" w:w="2592"/>
            <w:shd w:fill="F8F9FA" w:val="clear"/>
          </w:tcPr>
          <w:p>
            <w:pPr>
              <w:spacing w:before="20" w:after="20"/>
              <w:jc w:val="center"/>
            </w:pPr>
            <w:r/>
            <w:r>
              <w:rPr>
                <w:rFonts w:ascii="Calibri" w:hAnsi="Calibri"/>
                <w:sz w:val="18"/>
              </w:rPr>
              <w:t>70 PCF</w:t>
            </w:r>
          </w:p>
        </w:tc>
        <w:tc>
          <w:tcPr>
            <w:tcW w:type="dxa" w:w="2592"/>
            <w:shd w:fill="F8F9FA" w:val="clear"/>
          </w:tcPr>
          <w:p>
            <w:pPr>
              <w:spacing w:before="20" w:after="20"/>
              <w:jc w:val="center"/>
            </w:pPr>
            <w:r/>
            <w:r>
              <w:rPr>
                <w:rFonts w:ascii="Calibri" w:hAnsi="Calibri"/>
                <w:sz w:val="18"/>
              </w:rPr>
              <w:t>70 PCF</w:t>
            </w:r>
          </w:p>
        </w:tc>
        <w:tc>
          <w:tcPr>
            <w:tcW w:type="dxa" w:w="1152"/>
            <w:shd w:fill="F8F9FA" w:val="clear"/>
            <w:shd w:fill="D5F5E3" w:val="clear"/>
          </w:tcPr>
          <w:p>
            <w:pPr>
              <w:spacing w:before="20" w:after="20"/>
              <w:jc w:val="center"/>
            </w:pPr>
            <w:r/>
            <w:r>
              <w:rPr>
                <w:rFonts w:ascii="Calibri" w:hAnsi="Calibri"/>
                <w:b/>
                <w:color w:val="27AE60"/>
                <w:sz w:val="18"/>
              </w:rPr>
              <w:t>Yes</w:t>
            </w:r>
          </w:p>
        </w:tc>
      </w:tr>
      <w:tr>
        <w:tc>
          <w:tcPr>
            <w:tcW w:type="dxa" w:w="3168"/>
          </w:tcPr>
          <w:p>
            <w:pPr>
              <w:spacing w:before="20" w:after="20"/>
              <w:jc w:val="left"/>
            </w:pPr>
            <w:r/>
            <w:r>
              <w:rPr>
                <w:rFonts w:ascii="Calibri" w:hAnsi="Calibri"/>
                <w:b/>
                <w:sz w:val="18"/>
              </w:rPr>
              <w:t>Hull Weight</w:t>
            </w:r>
          </w:p>
        </w:tc>
        <w:tc>
          <w:tcPr>
            <w:tcW w:type="dxa" w:w="2592"/>
          </w:tcPr>
          <w:p>
            <w:pPr>
              <w:spacing w:before="20" w:after="20"/>
              <w:jc w:val="center"/>
            </w:pPr>
            <w:r/>
            <w:r>
              <w:rPr>
                <w:rFonts w:ascii="Calibri" w:hAnsi="Calibri"/>
                <w:sz w:val="18"/>
              </w:rPr>
              <w:t>276 lbs</w:t>
            </w:r>
          </w:p>
        </w:tc>
        <w:tc>
          <w:tcPr>
            <w:tcW w:type="dxa" w:w="2592"/>
          </w:tcPr>
          <w:p>
            <w:pPr>
              <w:spacing w:before="20" w:after="20"/>
              <w:jc w:val="center"/>
            </w:pPr>
            <w:r/>
            <w:r>
              <w:rPr>
                <w:rFonts w:ascii="Calibri" w:hAnsi="Calibri"/>
                <w:sz w:val="18"/>
              </w:rPr>
              <w:t>276 lbs</w:t>
            </w:r>
          </w:p>
        </w:tc>
        <w:tc>
          <w:tcPr>
            <w:tcW w:type="dxa" w:w="1152"/>
            <w:shd w:fill="D5F5E3" w:val="clear"/>
          </w:tcPr>
          <w:p>
            <w:pPr>
              <w:spacing w:before="20" w:after="20"/>
              <w:jc w:val="center"/>
            </w:pPr>
            <w:r/>
            <w:r>
              <w:rPr>
                <w:rFonts w:ascii="Calibri" w:hAnsi="Calibri"/>
                <w:b/>
                <w:color w:val="27AE60"/>
                <w:sz w:val="18"/>
              </w:rPr>
              <w:t>Yes</w:t>
            </w:r>
          </w:p>
        </w:tc>
      </w:tr>
      <w:tr>
        <w:tc>
          <w:tcPr>
            <w:tcW w:type="dxa" w:w="3168"/>
            <w:shd w:fill="F8F9FA" w:val="clear"/>
          </w:tcPr>
          <w:p>
            <w:pPr>
              <w:spacing w:before="20" w:after="20"/>
              <w:jc w:val="left"/>
            </w:pPr>
            <w:r/>
            <w:r>
              <w:rPr>
                <w:rFonts w:ascii="Calibri" w:hAnsi="Calibri"/>
                <w:b/>
                <w:sz w:val="18"/>
              </w:rPr>
              <w:t>Flexural Strength (f'c)</w:t>
            </w:r>
          </w:p>
        </w:tc>
        <w:tc>
          <w:tcPr>
            <w:tcW w:type="dxa" w:w="2592"/>
            <w:shd w:fill="F8F9FA" w:val="clear"/>
          </w:tcPr>
          <w:p>
            <w:pPr>
              <w:spacing w:before="20" w:after="20"/>
              <w:jc w:val="center"/>
            </w:pPr>
            <w:r/>
            <w:r>
              <w:rPr>
                <w:rFonts w:ascii="Calibri" w:hAnsi="Calibri"/>
                <w:sz w:val="18"/>
              </w:rPr>
              <w:t>1,500 psi</w:t>
            </w:r>
          </w:p>
        </w:tc>
        <w:tc>
          <w:tcPr>
            <w:tcW w:type="dxa" w:w="2592"/>
            <w:shd w:fill="F8F9FA" w:val="clear"/>
          </w:tcPr>
          <w:p>
            <w:pPr>
              <w:spacing w:before="20" w:after="20"/>
              <w:jc w:val="center"/>
            </w:pPr>
            <w:r/>
            <w:r>
              <w:rPr>
                <w:rFonts w:ascii="Calibri" w:hAnsi="Calibri"/>
                <w:sz w:val="18"/>
              </w:rPr>
              <w:t>1,500 psi</w:t>
            </w:r>
          </w:p>
        </w:tc>
        <w:tc>
          <w:tcPr>
            <w:tcW w:type="dxa" w:w="1152"/>
            <w:shd w:fill="F8F9FA" w:val="clear"/>
            <w:shd w:fill="D5F5E3" w:val="clear"/>
          </w:tcPr>
          <w:p>
            <w:pPr>
              <w:spacing w:before="20" w:after="20"/>
              <w:jc w:val="center"/>
            </w:pPr>
            <w:r/>
            <w:r>
              <w:rPr>
                <w:rFonts w:ascii="Calibri" w:hAnsi="Calibri"/>
                <w:b/>
                <w:color w:val="27AE60"/>
                <w:sz w:val="18"/>
              </w:rPr>
              <w:t>Yes</w:t>
            </w:r>
          </w:p>
        </w:tc>
      </w:tr>
      <w:tr>
        <w:tc>
          <w:tcPr>
            <w:tcW w:type="dxa" w:w="3168"/>
          </w:tcPr>
          <w:p>
            <w:pPr>
              <w:spacing w:before="20" w:after="20"/>
              <w:jc w:val="left"/>
            </w:pPr>
            <w:r/>
            <w:r>
              <w:rPr>
                <w:rFonts w:ascii="Calibri" w:hAnsi="Calibri"/>
                <w:b/>
                <w:sz w:val="18"/>
              </w:rPr>
              <w:t>Crew Count</w:t>
            </w:r>
          </w:p>
        </w:tc>
        <w:tc>
          <w:tcPr>
            <w:tcW w:type="dxa" w:w="2592"/>
          </w:tcPr>
          <w:p>
            <w:pPr>
              <w:spacing w:before="20" w:after="20"/>
              <w:jc w:val="center"/>
            </w:pPr>
            <w:r/>
            <w:r>
              <w:rPr>
                <w:rFonts w:ascii="Calibri" w:hAnsi="Calibri"/>
                <w:sz w:val="18"/>
              </w:rPr>
              <w:t>4 paddlers</w:t>
            </w:r>
          </w:p>
        </w:tc>
        <w:tc>
          <w:tcPr>
            <w:tcW w:type="dxa" w:w="2592"/>
          </w:tcPr>
          <w:p>
            <w:pPr>
              <w:spacing w:before="20" w:after="20"/>
              <w:jc w:val="center"/>
            </w:pPr>
            <w:r/>
            <w:r>
              <w:rPr>
                <w:rFonts w:ascii="Calibri" w:hAnsi="Calibri"/>
                <w:sz w:val="18"/>
              </w:rPr>
              <w:t>4 paddlers</w:t>
            </w:r>
          </w:p>
        </w:tc>
        <w:tc>
          <w:tcPr>
            <w:tcW w:type="dxa" w:w="1152"/>
            <w:shd w:fill="D5F5E3" w:val="clear"/>
          </w:tcPr>
          <w:p>
            <w:pPr>
              <w:spacing w:before="20" w:after="20"/>
              <w:jc w:val="center"/>
            </w:pPr>
            <w:r/>
            <w:r>
              <w:rPr>
                <w:rFonts w:ascii="Calibri" w:hAnsi="Calibri"/>
                <w:b/>
                <w:color w:val="27AE60"/>
                <w:sz w:val="18"/>
              </w:rPr>
              <w:t>Yes</w:t>
            </w:r>
          </w:p>
        </w:tc>
      </w:tr>
      <w:tr>
        <w:tc>
          <w:tcPr>
            <w:tcW w:type="dxa" w:w="3168"/>
            <w:shd w:fill="F8F9FA" w:val="clear"/>
          </w:tcPr>
          <w:p>
            <w:pPr>
              <w:spacing w:before="20" w:after="20"/>
              <w:jc w:val="left"/>
            </w:pPr>
            <w:r/>
            <w:r>
              <w:rPr>
                <w:rFonts w:ascii="Calibri" w:hAnsi="Calibri"/>
                <w:b/>
                <w:sz w:val="18"/>
              </w:rPr>
              <w:t>Crew Weight (each)</w:t>
            </w:r>
          </w:p>
        </w:tc>
        <w:tc>
          <w:tcPr>
            <w:tcW w:type="dxa" w:w="2592"/>
            <w:shd w:fill="F8F9FA" w:val="clear"/>
          </w:tcPr>
          <w:p>
            <w:pPr>
              <w:spacing w:before="20" w:after="20"/>
              <w:jc w:val="center"/>
            </w:pPr>
            <w:r/>
            <w:r>
              <w:rPr>
                <w:rFonts w:ascii="Calibri" w:hAnsi="Calibri"/>
                <w:sz w:val="18"/>
              </w:rPr>
              <w:t>175 lbs</w:t>
            </w:r>
          </w:p>
        </w:tc>
        <w:tc>
          <w:tcPr>
            <w:tcW w:type="dxa" w:w="2592"/>
            <w:shd w:fill="F8F9FA" w:val="clear"/>
          </w:tcPr>
          <w:p>
            <w:pPr>
              <w:spacing w:before="20" w:after="20"/>
              <w:jc w:val="center"/>
            </w:pPr>
            <w:r/>
            <w:r>
              <w:rPr>
                <w:rFonts w:ascii="Calibri" w:hAnsi="Calibri"/>
                <w:sz w:val="18"/>
              </w:rPr>
              <w:t>175 lbs</w:t>
            </w:r>
          </w:p>
        </w:tc>
        <w:tc>
          <w:tcPr>
            <w:tcW w:type="dxa" w:w="1152"/>
            <w:shd w:fill="F8F9FA" w:val="clear"/>
            <w:shd w:fill="D5F5E3" w:val="clear"/>
          </w:tcPr>
          <w:p>
            <w:pPr>
              <w:spacing w:before="20" w:after="20"/>
              <w:jc w:val="center"/>
            </w:pPr>
            <w:r/>
            <w:r>
              <w:rPr>
                <w:rFonts w:ascii="Calibri" w:hAnsi="Calibri"/>
                <w:b/>
                <w:color w:val="27AE60"/>
                <w:sz w:val="18"/>
              </w:rPr>
              <w:t>Yes</w:t>
            </w:r>
          </w:p>
        </w:tc>
      </w:tr>
      <w:tr>
        <w:tc>
          <w:tcPr>
            <w:tcW w:type="dxa" w:w="3168"/>
          </w:tcPr>
          <w:p>
            <w:pPr>
              <w:spacing w:before="20" w:after="20"/>
              <w:jc w:val="left"/>
            </w:pPr>
            <w:r/>
            <w:r>
              <w:rPr>
                <w:rFonts w:ascii="Calibri" w:hAnsi="Calibri"/>
                <w:b/>
                <w:sz w:val="18"/>
              </w:rPr>
              <w:t>Total Crew Weight</w:t>
            </w:r>
          </w:p>
        </w:tc>
        <w:tc>
          <w:tcPr>
            <w:tcW w:type="dxa" w:w="2592"/>
          </w:tcPr>
          <w:p>
            <w:pPr>
              <w:spacing w:before="20" w:after="20"/>
              <w:jc w:val="center"/>
            </w:pPr>
            <w:r/>
            <w:r>
              <w:rPr>
                <w:rFonts w:ascii="Calibri" w:hAnsi="Calibri"/>
                <w:sz w:val="18"/>
              </w:rPr>
              <w:t>700 lbs</w:t>
            </w:r>
          </w:p>
        </w:tc>
        <w:tc>
          <w:tcPr>
            <w:tcW w:type="dxa" w:w="2592"/>
          </w:tcPr>
          <w:p>
            <w:pPr>
              <w:spacing w:before="20" w:after="20"/>
              <w:jc w:val="center"/>
            </w:pPr>
            <w:r/>
            <w:r>
              <w:rPr>
                <w:rFonts w:ascii="Calibri" w:hAnsi="Calibri"/>
                <w:sz w:val="18"/>
              </w:rPr>
              <w:t>700 lbs</w:t>
            </w:r>
          </w:p>
        </w:tc>
        <w:tc>
          <w:tcPr>
            <w:tcW w:type="dxa" w:w="1152"/>
            <w:shd w:fill="D5F5E3" w:val="clear"/>
          </w:tcPr>
          <w:p>
            <w:pPr>
              <w:spacing w:before="20" w:after="20"/>
              <w:jc w:val="center"/>
            </w:pPr>
            <w:r/>
            <w:r>
              <w:rPr>
                <w:rFonts w:ascii="Calibri" w:hAnsi="Calibri"/>
                <w:b/>
                <w:color w:val="27AE60"/>
                <w:sz w:val="18"/>
              </w:rPr>
              <w:t>Yes</w:t>
            </w:r>
          </w:p>
        </w:tc>
      </w:tr>
      <w:tr>
        <w:tc>
          <w:tcPr>
            <w:tcW w:type="dxa" w:w="3168"/>
            <w:shd w:fill="F8F9FA" w:val="clear"/>
          </w:tcPr>
          <w:p>
            <w:pPr>
              <w:spacing w:before="20" w:after="20"/>
              <w:jc w:val="left"/>
            </w:pPr>
            <w:r/>
            <w:r>
              <w:rPr>
                <w:rFonts w:ascii="Calibri" w:hAnsi="Calibri"/>
                <w:b/>
                <w:sz w:val="18"/>
              </w:rPr>
              <w:t>Waterplane Coeff (Cwp)</w:t>
            </w:r>
          </w:p>
        </w:tc>
        <w:tc>
          <w:tcPr>
            <w:tcW w:type="dxa" w:w="2592"/>
            <w:shd w:fill="F8F9FA" w:val="clear"/>
          </w:tcPr>
          <w:p>
            <w:pPr>
              <w:spacing w:before="20" w:after="20"/>
              <w:jc w:val="center"/>
            </w:pPr>
            <w:r/>
            <w:r>
              <w:rPr>
                <w:rFonts w:ascii="Calibri" w:hAnsi="Calibri"/>
                <w:sz w:val="18"/>
              </w:rPr>
              <w:t>0.70</w:t>
            </w:r>
          </w:p>
        </w:tc>
        <w:tc>
          <w:tcPr>
            <w:tcW w:type="dxa" w:w="2592"/>
            <w:shd w:fill="F8F9FA" w:val="clear"/>
          </w:tcPr>
          <w:p>
            <w:pPr>
              <w:spacing w:before="20" w:after="20"/>
              <w:jc w:val="center"/>
            </w:pPr>
            <w:r/>
            <w:r>
              <w:rPr>
                <w:rFonts w:ascii="Calibri" w:hAnsi="Calibri"/>
                <w:sz w:val="18"/>
              </w:rPr>
              <w:t>0.70</w:t>
            </w:r>
          </w:p>
        </w:tc>
        <w:tc>
          <w:tcPr>
            <w:tcW w:type="dxa" w:w="1152"/>
            <w:shd w:fill="F8F9FA" w:val="clear"/>
            <w:shd w:fill="D5F5E3" w:val="clear"/>
          </w:tcPr>
          <w:p>
            <w:pPr>
              <w:spacing w:before="20" w:after="20"/>
              <w:jc w:val="center"/>
            </w:pPr>
            <w:r/>
            <w:r>
              <w:rPr>
                <w:rFonts w:ascii="Calibri" w:hAnsi="Calibri"/>
                <w:b/>
                <w:color w:val="27AE60"/>
                <w:sz w:val="18"/>
              </w:rPr>
              <w:t>Yes</w:t>
            </w:r>
          </w:p>
        </w:tc>
      </w:tr>
      <w:tr>
        <w:tc>
          <w:tcPr>
            <w:tcW w:type="dxa" w:w="3168"/>
          </w:tcPr>
          <w:p>
            <w:pPr>
              <w:spacing w:before="20" w:after="20"/>
              <w:jc w:val="left"/>
            </w:pPr>
            <w:r/>
            <w:r>
              <w:rPr>
                <w:rFonts w:ascii="Calibri" w:hAnsi="Calibri"/>
                <w:b/>
                <w:sz w:val="18"/>
              </w:rPr>
              <w:t>Total Displacement Weight</w:t>
            </w:r>
          </w:p>
        </w:tc>
        <w:tc>
          <w:tcPr>
            <w:tcW w:type="dxa" w:w="2592"/>
          </w:tcPr>
          <w:p>
            <w:pPr>
              <w:spacing w:before="20" w:after="20"/>
              <w:jc w:val="center"/>
            </w:pPr>
            <w:r/>
            <w:r>
              <w:rPr>
                <w:rFonts w:ascii="Calibri" w:hAnsi="Calibri"/>
                <w:sz w:val="18"/>
              </w:rPr>
              <w:t>976 lbs</w:t>
            </w:r>
          </w:p>
        </w:tc>
        <w:tc>
          <w:tcPr>
            <w:tcW w:type="dxa" w:w="2592"/>
          </w:tcPr>
          <w:p>
            <w:pPr>
              <w:spacing w:before="20" w:after="20"/>
              <w:jc w:val="center"/>
            </w:pPr>
            <w:r/>
            <w:r>
              <w:rPr>
                <w:rFonts w:ascii="Calibri" w:hAnsi="Calibri"/>
                <w:sz w:val="18"/>
              </w:rPr>
              <w:t>976 lbs (276 + 700)</w:t>
            </w:r>
          </w:p>
        </w:tc>
        <w:tc>
          <w:tcPr>
            <w:tcW w:type="dxa" w:w="1152"/>
            <w:shd w:fill="D5F5E3" w:val="clear"/>
          </w:tcPr>
          <w:p>
            <w:pPr>
              <w:spacing w:before="20" w:after="20"/>
              <w:jc w:val="center"/>
            </w:pPr>
            <w:r/>
            <w:r>
              <w:rPr>
                <w:rFonts w:ascii="Calibri" w:hAnsi="Calibri"/>
                <w:b/>
                <w:color w:val="27AE60"/>
                <w:sz w:val="18"/>
              </w:rPr>
              <w:t>Yes</w:t>
            </w:r>
          </w:p>
        </w:tc>
      </w:tr>
    </w:tbl>
    <w:p/>
    <w:p>
      <w:r>
        <w:rPr>
          <w:rFonts w:ascii="Calibri" w:hAnsi="Calibri"/>
          <w:i/>
          <w:color w:val="666666"/>
          <w:sz w:val="18"/>
        </w:rPr>
        <w:t>All 13 input parameters match exactly between both calculation tools. Any differences in outputs are solely due to the cross-section model (half-ellipse vs. U-shell) or load distribution assumptions, not input errors.</w:t>
      </w:r>
    </w:p>
    <w:p>
      <w:r>
        <w:br w:type="page"/>
      </w:r>
    </w:p>
    <w:p>
      <w:pPr>
        <w:pStyle w:val="Heading1"/>
      </w:pPr>
      <w:r>
        <w:rPr>
          <w:rFonts w:ascii="Calibri" w:hAnsi="Calibri"/>
          <w:color w:val="2E4057"/>
        </w:rPr>
        <w:t>2. Hydrostatic Results Comparison</w:t>
      </w:r>
    </w:p>
    <w:p>
      <w:r>
        <w:rPr>
          <w:rFonts w:ascii="Calibri" w:hAnsi="Calibri"/>
          <w:sz w:val="20"/>
        </w:rPr>
        <w:t>Both methods use Archimedes' principle: the hull displaces water equal to the total loaded weight (hull + crew = 976 lbs). The displacement volume is identical. Draft and freeboard differ because Trevion's spreadsheet uses a half-ellipse hull shape to compute submerged volume (which accounts for the curved bottom), while our calculator uses a simpler prismatic waterplane coefficient (Cwp = 0.70) with a flat-bottom approximation. Both are standard approaches, and both confirm freeboard exceeds the 6" ASCE minimum.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fill="2E4057" w:val="clear"/>
          </w:tcPr>
          <w:p>
            <w:pPr>
              <w:spacing w:before="20" w:after="20"/>
              <w:jc w:val="center"/>
            </w:pPr>
            <w:r/>
            <w:r>
              <w:rPr>
                <w:rFonts w:ascii="Calibri" w:hAnsi="Calibri"/>
                <w:b/>
                <w:color w:val="FFFFFF"/>
                <w:sz w:val="18"/>
              </w:rPr>
              <w:t>Parameter</w:t>
            </w:r>
          </w:p>
        </w:tc>
        <w:tc>
          <w:tcPr>
            <w:tcW w:type="dxa" w:w="2160"/>
            <w:shd w:fill="2E4057" w:val="clear"/>
          </w:tcPr>
          <w:p>
            <w:pPr>
              <w:spacing w:before="20" w:after="20"/>
              <w:jc w:val="center"/>
            </w:pPr>
            <w:r/>
            <w:r>
              <w:rPr>
                <w:rFonts w:ascii="Calibri" w:hAnsi="Calibri"/>
                <w:b/>
                <w:color w:val="FFFFFF"/>
                <w:sz w:val="18"/>
              </w:rPr>
              <w:t>Trevion's Value</w:t>
            </w:r>
          </w:p>
        </w:tc>
        <w:tc>
          <w:tcPr>
            <w:tcW w:type="dxa" w:w="2160"/>
            <w:shd w:fill="2E4057" w:val="clear"/>
          </w:tcPr>
          <w:p>
            <w:pPr>
              <w:spacing w:before="20" w:after="20"/>
              <w:jc w:val="center"/>
            </w:pPr>
            <w:r/>
            <w:r>
              <w:rPr>
                <w:rFonts w:ascii="Calibri" w:hAnsi="Calibri"/>
                <w:b/>
                <w:color w:val="FFFFFF"/>
                <w:sz w:val="18"/>
              </w:rPr>
              <w:t>Our Value</w:t>
            </w:r>
          </w:p>
        </w:tc>
        <w:tc>
          <w:tcPr>
            <w:tcW w:type="dxa" w:w="1008"/>
            <w:shd w:fill="2E4057" w:val="clear"/>
          </w:tcPr>
          <w:p>
            <w:pPr>
              <w:spacing w:before="20" w:after="20"/>
              <w:jc w:val="center"/>
            </w:pPr>
            <w:r/>
            <w:r>
              <w:rPr>
                <w:rFonts w:ascii="Calibri" w:hAnsi="Calibri"/>
                <w:b/>
                <w:color w:val="FFFFFF"/>
                <w:sz w:val="18"/>
              </w:rPr>
              <w:t>Diff %</w:t>
            </w:r>
          </w:p>
        </w:tc>
        <w:tc>
          <w:tcPr>
            <w:tcW w:type="dxa" w:w="1440"/>
            <w:shd w:fill="2E4057" w:val="clear"/>
          </w:tcPr>
          <w:p>
            <w:pPr>
              <w:spacing w:before="20" w:after="20"/>
              <w:jc w:val="center"/>
            </w:pPr>
            <w:r/>
            <w:r>
              <w:rPr>
                <w:rFonts w:ascii="Calibri" w:hAnsi="Calibri"/>
                <w:b/>
                <w:color w:val="FFFFFF"/>
                <w:sz w:val="18"/>
              </w:rPr>
              <w:t>Notes</w:t>
            </w:r>
          </w:p>
        </w:tc>
      </w:tr>
      <w:tr>
        <w:tc>
          <w:tcPr>
            <w:tcW w:type="dxa" w:w="2880"/>
          </w:tcPr>
          <w:p>
            <w:pPr>
              <w:spacing w:before="20" w:after="20"/>
              <w:jc w:val="left"/>
            </w:pPr>
            <w:r/>
            <w:r>
              <w:rPr>
                <w:rFonts w:ascii="Calibri" w:hAnsi="Calibri"/>
                <w:b/>
                <w:sz w:val="18"/>
              </w:rPr>
              <w:t>Total Weight (hull + crew)</w:t>
            </w:r>
          </w:p>
        </w:tc>
        <w:tc>
          <w:tcPr>
            <w:tcW w:type="dxa" w:w="2160"/>
          </w:tcPr>
          <w:p>
            <w:pPr>
              <w:spacing w:before="20" w:after="20"/>
              <w:jc w:val="center"/>
            </w:pPr>
            <w:r/>
            <w:r>
              <w:rPr>
                <w:rFonts w:ascii="Calibri" w:hAnsi="Calibri"/>
                <w:sz w:val="18"/>
              </w:rPr>
              <w:t>976 lbs</w:t>
            </w:r>
          </w:p>
        </w:tc>
        <w:tc>
          <w:tcPr>
            <w:tcW w:type="dxa" w:w="2160"/>
          </w:tcPr>
          <w:p>
            <w:pPr>
              <w:spacing w:before="20" w:after="20"/>
              <w:jc w:val="center"/>
            </w:pPr>
            <w:r/>
            <w:r>
              <w:rPr>
                <w:rFonts w:ascii="Calibri" w:hAnsi="Calibri"/>
                <w:sz w:val="18"/>
              </w:rPr>
              <w:t>976 lbs</w:t>
            </w:r>
          </w:p>
        </w:tc>
        <w:tc>
          <w:tcPr>
            <w:tcW w:type="dxa" w:w="1008"/>
          </w:tcPr>
          <w:p>
            <w:pPr>
              <w:spacing w:before="20" w:after="20"/>
              <w:jc w:val="center"/>
            </w:pPr>
            <w:r/>
            <w:r>
              <w:rPr>
                <w:rFonts w:ascii="Calibri" w:hAnsi="Calibri"/>
                <w:sz w:val="18"/>
              </w:rPr>
              <w:t>0.0%</w:t>
            </w:r>
          </w:p>
        </w:tc>
        <w:tc>
          <w:tcPr>
            <w:tcW w:type="dxa" w:w="1440"/>
            <w:shd w:fill="D5F5E3" w:val="clear"/>
          </w:tcPr>
          <w:p>
            <w:pPr>
              <w:spacing w:before="20" w:after="20"/>
              <w:jc w:val="center"/>
            </w:pPr>
            <w:r/>
            <w:r>
              <w:rPr>
                <w:rFonts w:ascii="Calibri" w:hAnsi="Calibri"/>
                <w:b/>
                <w:color w:val="27AE60"/>
                <w:sz w:val="16"/>
              </w:rPr>
              <w:t>Shared input</w:t>
            </w:r>
          </w:p>
        </w:tc>
      </w:tr>
      <w:tr>
        <w:tc>
          <w:tcPr>
            <w:tcW w:type="dxa" w:w="2880"/>
            <w:shd w:fill="F8F9FA" w:val="clear"/>
          </w:tcPr>
          <w:p>
            <w:pPr>
              <w:spacing w:before="20" w:after="20"/>
              <w:jc w:val="left"/>
            </w:pPr>
            <w:r/>
            <w:r>
              <w:rPr>
                <w:rFonts w:ascii="Calibri" w:hAnsi="Calibri"/>
                <w:b/>
                <w:sz w:val="18"/>
              </w:rPr>
              <w:t>Displacement Volume (V = W/ρ)</w:t>
            </w:r>
          </w:p>
        </w:tc>
        <w:tc>
          <w:tcPr>
            <w:tcW w:type="dxa" w:w="2160"/>
            <w:shd w:fill="F8F9FA" w:val="clear"/>
          </w:tcPr>
          <w:p>
            <w:pPr>
              <w:spacing w:before="20" w:after="20"/>
              <w:jc w:val="center"/>
            </w:pPr>
            <w:r/>
            <w:r>
              <w:rPr>
                <w:rFonts w:ascii="Calibri" w:hAnsi="Calibri"/>
                <w:sz w:val="18"/>
              </w:rPr>
              <w:t>15.64 ft³</w:t>
            </w:r>
          </w:p>
        </w:tc>
        <w:tc>
          <w:tcPr>
            <w:tcW w:type="dxa" w:w="2160"/>
            <w:shd w:fill="F8F9FA" w:val="clear"/>
          </w:tcPr>
          <w:p>
            <w:pPr>
              <w:spacing w:before="20" w:after="20"/>
              <w:jc w:val="center"/>
            </w:pPr>
            <w:r/>
            <w:r>
              <w:rPr>
                <w:rFonts w:ascii="Calibri" w:hAnsi="Calibri"/>
                <w:sz w:val="18"/>
              </w:rPr>
              <w:t>15.64 ft³</w:t>
            </w:r>
          </w:p>
        </w:tc>
        <w:tc>
          <w:tcPr>
            <w:tcW w:type="dxa" w:w="1008"/>
            <w:shd w:fill="F8F9FA" w:val="clear"/>
          </w:tcPr>
          <w:p>
            <w:pPr>
              <w:spacing w:before="20" w:after="20"/>
              <w:jc w:val="center"/>
            </w:pPr>
            <w:r/>
            <w:r>
              <w:rPr>
                <w:rFonts w:ascii="Calibri" w:hAnsi="Calibri"/>
                <w:sz w:val="18"/>
              </w:rPr>
              <w:t>0.0%</w:t>
            </w:r>
          </w:p>
        </w:tc>
        <w:tc>
          <w:tcPr>
            <w:tcW w:type="dxa" w:w="1440"/>
            <w:shd w:fill="F8F9FA" w:val="clear"/>
            <w:shd w:fill="D5F5E3" w:val="clear"/>
          </w:tcPr>
          <w:p>
            <w:pPr>
              <w:spacing w:before="20" w:after="20"/>
              <w:jc w:val="center"/>
            </w:pPr>
            <w:r/>
            <w:r>
              <w:rPr>
                <w:rFonts w:ascii="Calibri" w:hAnsi="Calibri"/>
                <w:b/>
                <w:color w:val="27AE60"/>
                <w:sz w:val="16"/>
              </w:rPr>
              <w:t>Same formula</w:t>
            </w:r>
          </w:p>
        </w:tc>
      </w:tr>
      <w:tr>
        <w:tc>
          <w:tcPr>
            <w:tcW w:type="dxa" w:w="2880"/>
          </w:tcPr>
          <w:p>
            <w:pPr>
              <w:spacing w:before="20" w:after="20"/>
              <w:jc w:val="left"/>
            </w:pPr>
            <w:r/>
            <w:r>
              <w:rPr>
                <w:rFonts w:ascii="Calibri" w:hAnsi="Calibri"/>
                <w:b/>
                <w:sz w:val="18"/>
              </w:rPr>
              <w:t>Draft Model</w:t>
            </w:r>
          </w:p>
        </w:tc>
        <w:tc>
          <w:tcPr>
            <w:tcW w:type="dxa" w:w="2160"/>
          </w:tcPr>
          <w:p>
            <w:pPr>
              <w:spacing w:before="20" w:after="20"/>
              <w:jc w:val="center"/>
            </w:pPr>
            <w:r/>
            <w:r>
              <w:rPr>
                <w:rFonts w:ascii="Calibri" w:hAnsi="Calibri"/>
                <w:sz w:val="18"/>
              </w:rPr>
              <w:t>Half-ellipse submersion</w:t>
            </w:r>
          </w:p>
        </w:tc>
        <w:tc>
          <w:tcPr>
            <w:tcW w:type="dxa" w:w="2160"/>
          </w:tcPr>
          <w:p>
            <w:pPr>
              <w:spacing w:before="20" w:after="20"/>
              <w:jc w:val="center"/>
            </w:pPr>
            <w:r/>
            <w:r>
              <w:rPr>
                <w:rFonts w:ascii="Calibri" w:hAnsi="Calibri"/>
                <w:sz w:val="18"/>
              </w:rPr>
              <w:t>Cwp prismatic (0.70)</w:t>
            </w:r>
          </w:p>
        </w:tc>
        <w:tc>
          <w:tcPr>
            <w:tcW w:type="dxa" w:w="1008"/>
          </w:tcPr>
          <w:p>
            <w:pPr>
              <w:spacing w:before="20" w:after="20"/>
              <w:jc w:val="center"/>
            </w:pPr>
            <w:r/>
            <w:r>
              <w:rPr>
                <w:rFonts w:ascii="Calibri" w:hAnsi="Calibri"/>
                <w:sz w:val="18"/>
              </w:rPr>
              <w:t>--</w:t>
            </w:r>
          </w:p>
        </w:tc>
        <w:tc>
          <w:tcPr>
            <w:tcW w:type="dxa" w:w="1440"/>
            <w:shd w:fill="FEF5D0" w:val="clear"/>
          </w:tcPr>
          <w:p>
            <w:pPr>
              <w:spacing w:before="20" w:after="20"/>
              <w:jc w:val="center"/>
            </w:pPr>
            <w:r/>
            <w:r>
              <w:rPr>
                <w:rFonts w:ascii="Calibri" w:hAnsi="Calibri"/>
                <w:sz w:val="16"/>
              </w:rPr>
              <w:t>Different methods</w:t>
            </w:r>
          </w:p>
        </w:tc>
      </w:tr>
      <w:tr>
        <w:tc>
          <w:tcPr>
            <w:tcW w:type="dxa" w:w="2880"/>
            <w:shd w:fill="F8F9FA" w:val="clear"/>
          </w:tcPr>
          <w:p>
            <w:pPr>
              <w:spacing w:before="20" w:after="20"/>
              <w:jc w:val="left"/>
            </w:pPr>
            <w:r/>
            <w:r>
              <w:rPr>
                <w:rFonts w:ascii="Calibri" w:hAnsi="Calibri"/>
                <w:b/>
                <w:sz w:val="18"/>
              </w:rPr>
              <w:t>Draft</w:t>
            </w:r>
          </w:p>
        </w:tc>
        <w:tc>
          <w:tcPr>
            <w:tcW w:type="dxa" w:w="2160"/>
            <w:shd w:fill="F8F9FA" w:val="clear"/>
          </w:tcPr>
          <w:p>
            <w:pPr>
              <w:spacing w:before="20" w:after="20"/>
              <w:jc w:val="center"/>
            </w:pPr>
            <w:r/>
            <w:r>
              <w:rPr>
                <w:rFonts w:ascii="Calibri" w:hAnsi="Calibri"/>
                <w:sz w:val="18"/>
              </w:rPr>
              <w:t>9.96 in</w:t>
            </w:r>
          </w:p>
        </w:tc>
        <w:tc>
          <w:tcPr>
            <w:tcW w:type="dxa" w:w="2160"/>
            <w:shd w:fill="F8F9FA" w:val="clear"/>
          </w:tcPr>
          <w:p>
            <w:pPr>
              <w:spacing w:before="20" w:after="20"/>
              <w:jc w:val="center"/>
            </w:pPr>
            <w:r/>
            <w:r>
              <w:rPr>
                <w:rFonts w:ascii="Calibri" w:hAnsi="Calibri"/>
                <w:sz w:val="18"/>
              </w:rPr>
              <w:t>5.96 in</w:t>
            </w:r>
          </w:p>
        </w:tc>
        <w:tc>
          <w:tcPr>
            <w:tcW w:type="dxa" w:w="1008"/>
            <w:shd w:fill="F8F9FA" w:val="clear"/>
          </w:tcPr>
          <w:p>
            <w:pPr>
              <w:spacing w:before="20" w:after="20"/>
              <w:jc w:val="center"/>
            </w:pPr>
            <w:r/>
            <w:r>
              <w:rPr>
                <w:rFonts w:ascii="Calibri" w:hAnsi="Calibri"/>
                <w:sz w:val="18"/>
              </w:rPr>
              <w:t>40.2%</w:t>
            </w:r>
          </w:p>
        </w:tc>
        <w:tc>
          <w:tcPr>
            <w:tcW w:type="dxa" w:w="1440"/>
            <w:shd w:fill="F8F9FA" w:val="clear"/>
            <w:shd w:fill="FEF5D0" w:val="clear"/>
          </w:tcPr>
          <w:p>
            <w:pPr>
              <w:spacing w:before="20" w:after="20"/>
              <w:jc w:val="center"/>
            </w:pPr>
            <w:r/>
            <w:r>
              <w:rPr>
                <w:rFonts w:ascii="Calibri" w:hAnsi="Calibri"/>
                <w:sz w:val="16"/>
              </w:rPr>
              <w:t>Model difference</w:t>
            </w:r>
          </w:p>
        </w:tc>
      </w:tr>
      <w:tr>
        <w:tc>
          <w:tcPr>
            <w:tcW w:type="dxa" w:w="2880"/>
          </w:tcPr>
          <w:p>
            <w:pPr>
              <w:spacing w:before="20" w:after="20"/>
              <w:jc w:val="left"/>
            </w:pPr>
            <w:r/>
            <w:r>
              <w:rPr>
                <w:rFonts w:ascii="Calibri" w:hAnsi="Calibri"/>
                <w:b/>
                <w:sz w:val="18"/>
              </w:rPr>
              <w:t>Freeboard</w:t>
            </w:r>
          </w:p>
        </w:tc>
        <w:tc>
          <w:tcPr>
            <w:tcW w:type="dxa" w:w="2160"/>
          </w:tcPr>
          <w:p>
            <w:pPr>
              <w:spacing w:before="20" w:after="20"/>
              <w:jc w:val="center"/>
            </w:pPr>
            <w:r/>
            <w:r>
              <w:rPr>
                <w:rFonts w:ascii="Calibri" w:hAnsi="Calibri"/>
                <w:sz w:val="18"/>
              </w:rPr>
              <w:t>8.04 in</w:t>
            </w:r>
          </w:p>
        </w:tc>
        <w:tc>
          <w:tcPr>
            <w:tcW w:type="dxa" w:w="2160"/>
          </w:tcPr>
          <w:p>
            <w:pPr>
              <w:spacing w:before="20" w:after="20"/>
              <w:jc w:val="center"/>
            </w:pPr>
            <w:r/>
            <w:r>
              <w:rPr>
                <w:rFonts w:ascii="Calibri" w:hAnsi="Calibri"/>
                <w:sz w:val="18"/>
              </w:rPr>
              <w:t>12.04 in</w:t>
            </w:r>
          </w:p>
        </w:tc>
        <w:tc>
          <w:tcPr>
            <w:tcW w:type="dxa" w:w="1008"/>
          </w:tcPr>
          <w:p>
            <w:pPr>
              <w:spacing w:before="20" w:after="20"/>
              <w:jc w:val="center"/>
            </w:pPr>
            <w:r/>
            <w:r>
              <w:rPr>
                <w:rFonts w:ascii="Calibri" w:hAnsi="Calibri"/>
                <w:sz w:val="18"/>
              </w:rPr>
              <w:t>49.8%</w:t>
            </w:r>
          </w:p>
        </w:tc>
        <w:tc>
          <w:tcPr>
            <w:tcW w:type="dxa" w:w="1440"/>
            <w:shd w:fill="D5F5E3" w:val="clear"/>
          </w:tcPr>
          <w:p>
            <w:pPr>
              <w:spacing w:before="20" w:after="20"/>
              <w:jc w:val="center"/>
            </w:pPr>
            <w:r/>
            <w:r>
              <w:rPr>
                <w:rFonts w:ascii="Calibri" w:hAnsi="Calibri"/>
                <w:b/>
                <w:color w:val="27AE60"/>
                <w:sz w:val="16"/>
              </w:rPr>
              <w:t>Both PASS (≥ 6")</w:t>
            </w:r>
          </w:p>
        </w:tc>
      </w:tr>
    </w:tbl>
    <w:p/>
    <w:p>
      <w:pPr>
        <w:pStyle w:val="Heading2"/>
      </w:pPr>
      <w:r>
        <w:rPr>
          <w:rFonts w:ascii="Calibri" w:hAnsi="Calibri"/>
          <w:color w:val="2E4057"/>
        </w:rPr>
        <w:t>Cross-Section Model Comparison</w:t>
      </w:r>
    </w:p>
    <w:p>
      <w:r>
        <w:rPr>
          <w:rFonts w:ascii="Calibri" w:hAnsi="Calibri"/>
          <w:sz w:val="20"/>
        </w:rPr>
        <w:t>Trevion models the hull cross-section as a half-ellipse shell, while our calculator uses a U-shell (flat bottom + two vertical walls). Both are standard simplifications for canoe structural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fill="2E4057" w:val="clear"/>
          </w:tcPr>
          <w:p>
            <w:pPr>
              <w:spacing w:before="20" w:after="20"/>
              <w:jc w:val="center"/>
            </w:pPr>
            <w:r/>
            <w:r>
              <w:rPr>
                <w:rFonts w:ascii="Calibri" w:hAnsi="Calibri"/>
                <w:b/>
                <w:color w:val="FFFFFF"/>
                <w:sz w:val="18"/>
              </w:rPr>
              <w:t>Property</w:t>
            </w:r>
          </w:p>
        </w:tc>
        <w:tc>
          <w:tcPr>
            <w:tcW w:type="dxa" w:w="3168"/>
            <w:shd w:fill="2E4057" w:val="clear"/>
          </w:tcPr>
          <w:p>
            <w:pPr>
              <w:spacing w:before="20" w:after="20"/>
              <w:jc w:val="center"/>
            </w:pPr>
            <w:r/>
            <w:r>
              <w:rPr>
                <w:rFonts w:ascii="Calibri" w:hAnsi="Calibri"/>
                <w:b/>
                <w:color w:val="FFFFFF"/>
                <w:sz w:val="18"/>
              </w:rPr>
              <w:t>Trevion (Half-Ellipse)</w:t>
            </w:r>
          </w:p>
        </w:tc>
        <w:tc>
          <w:tcPr>
            <w:tcW w:type="dxa" w:w="3168"/>
            <w:shd w:fill="2E4057" w:val="clear"/>
          </w:tcPr>
          <w:p>
            <w:pPr>
              <w:spacing w:before="20" w:after="20"/>
              <w:jc w:val="center"/>
            </w:pPr>
            <w:r/>
            <w:r>
              <w:rPr>
                <w:rFonts w:ascii="Calibri" w:hAnsi="Calibri"/>
                <w:b/>
                <w:color w:val="FFFFFF"/>
                <w:sz w:val="18"/>
              </w:rPr>
              <w:t>Our Calculator (U-Shell)</w:t>
            </w:r>
          </w:p>
        </w:tc>
      </w:tr>
      <w:tr>
        <w:tc>
          <w:tcPr>
            <w:tcW w:type="dxa" w:w="3168"/>
          </w:tcPr>
          <w:p>
            <w:pPr>
              <w:spacing w:before="20" w:after="20"/>
              <w:jc w:val="left"/>
            </w:pPr>
            <w:r/>
            <w:r>
              <w:rPr>
                <w:rFonts w:ascii="Calibri" w:hAnsi="Calibri"/>
                <w:b/>
                <w:sz w:val="18"/>
              </w:rPr>
              <w:t>Cross-Section Model</w:t>
            </w:r>
          </w:p>
        </w:tc>
        <w:tc>
          <w:tcPr>
            <w:tcW w:type="dxa" w:w="3168"/>
          </w:tcPr>
          <w:p>
            <w:pPr>
              <w:spacing w:before="20" w:after="20"/>
              <w:jc w:val="center"/>
            </w:pPr>
            <w:r/>
            <w:r>
              <w:rPr>
                <w:rFonts w:ascii="Calibri" w:hAnsi="Calibri"/>
                <w:sz w:val="18"/>
              </w:rPr>
              <w:t>Half-Ellipse</w:t>
            </w:r>
          </w:p>
        </w:tc>
        <w:tc>
          <w:tcPr>
            <w:tcW w:type="dxa" w:w="3168"/>
          </w:tcPr>
          <w:p>
            <w:pPr>
              <w:spacing w:before="20" w:after="20"/>
              <w:jc w:val="center"/>
            </w:pPr>
            <w:r/>
            <w:r>
              <w:rPr>
                <w:rFonts w:ascii="Calibri" w:hAnsi="Calibri"/>
                <w:sz w:val="18"/>
              </w:rPr>
              <w:t>U-Shell (flat bottom + walls)</w:t>
            </w:r>
          </w:p>
        </w:tc>
      </w:tr>
      <w:tr>
        <w:tc>
          <w:tcPr>
            <w:tcW w:type="dxa" w:w="3168"/>
            <w:shd w:fill="F8F9FA" w:val="clear"/>
          </w:tcPr>
          <w:p>
            <w:pPr>
              <w:spacing w:before="20" w:after="20"/>
              <w:jc w:val="left"/>
            </w:pPr>
            <w:r/>
            <w:r>
              <w:rPr>
                <w:rFonts w:ascii="Calibri" w:hAnsi="Calibri"/>
                <w:b/>
                <w:sz w:val="18"/>
              </w:rPr>
              <w:t>Cross-Section Area</w:t>
            </w:r>
          </w:p>
        </w:tc>
        <w:tc>
          <w:tcPr>
            <w:tcW w:type="dxa" w:w="3168"/>
            <w:shd w:fill="F8F9FA" w:val="clear"/>
          </w:tcPr>
          <w:p>
            <w:pPr>
              <w:spacing w:before="20" w:after="20"/>
              <w:jc w:val="center"/>
            </w:pPr>
            <w:r/>
            <w:r>
              <w:rPr>
                <w:rFonts w:ascii="Calibri" w:hAnsi="Calibri"/>
                <w:sz w:val="18"/>
              </w:rPr>
              <w:t>26.3108 in²</w:t>
            </w:r>
          </w:p>
        </w:tc>
        <w:tc>
          <w:tcPr>
            <w:tcW w:type="dxa" w:w="3168"/>
            <w:shd w:fill="F8F9FA" w:val="clear"/>
          </w:tcPr>
          <w:p>
            <w:pPr>
              <w:spacing w:before="20" w:after="20"/>
              <w:jc w:val="center"/>
            </w:pPr>
            <w:r/>
            <w:r>
              <w:rPr>
                <w:rFonts w:ascii="Calibri" w:hAnsi="Calibri"/>
                <w:sz w:val="18"/>
              </w:rPr>
              <w:t>32.5000 in²</w:t>
            </w:r>
          </w:p>
        </w:tc>
      </w:tr>
      <w:tr>
        <w:tc>
          <w:tcPr>
            <w:tcW w:type="dxa" w:w="3168"/>
          </w:tcPr>
          <w:p>
            <w:pPr>
              <w:spacing w:before="20" w:after="20"/>
              <w:jc w:val="left"/>
            </w:pPr>
            <w:r/>
            <w:r>
              <w:rPr>
                <w:rFonts w:ascii="Calibri" w:hAnsi="Calibri"/>
                <w:b/>
                <w:sz w:val="18"/>
              </w:rPr>
              <w:t>Self-Weight</w:t>
            </w:r>
          </w:p>
        </w:tc>
        <w:tc>
          <w:tcPr>
            <w:tcW w:type="dxa" w:w="3168"/>
          </w:tcPr>
          <w:p>
            <w:pPr>
              <w:spacing w:before="20" w:after="20"/>
              <w:jc w:val="center"/>
            </w:pPr>
            <w:r/>
            <w:r>
              <w:rPr>
                <w:rFonts w:ascii="Calibri" w:hAnsi="Calibri"/>
                <w:sz w:val="18"/>
              </w:rPr>
              <w:t>12.790 lb/ft</w:t>
            </w:r>
          </w:p>
        </w:tc>
        <w:tc>
          <w:tcPr>
            <w:tcW w:type="dxa" w:w="3168"/>
          </w:tcPr>
          <w:p>
            <w:pPr>
              <w:spacing w:before="20" w:after="20"/>
              <w:jc w:val="center"/>
            </w:pPr>
            <w:r/>
            <w:r>
              <w:rPr>
                <w:rFonts w:ascii="Calibri" w:hAnsi="Calibri"/>
                <w:sz w:val="18"/>
              </w:rPr>
              <w:t>15.799 lb/ft</w:t>
            </w:r>
          </w:p>
        </w:tc>
      </w:tr>
      <w:tr>
        <w:tc>
          <w:tcPr>
            <w:tcW w:type="dxa" w:w="3168"/>
            <w:shd w:fill="F8F9FA" w:val="clear"/>
          </w:tcPr>
          <w:p>
            <w:pPr>
              <w:spacing w:before="20" w:after="20"/>
              <w:jc w:val="left"/>
            </w:pPr>
            <w:r/>
            <w:r>
              <w:rPr>
                <w:rFonts w:ascii="Calibri" w:hAnsi="Calibri"/>
                <w:b/>
                <w:sz w:val="18"/>
              </w:rPr>
              <w:t>Effective Depth (d)</w:t>
            </w:r>
          </w:p>
        </w:tc>
        <w:tc>
          <w:tcPr>
            <w:tcW w:type="dxa" w:w="3168"/>
            <w:shd w:fill="F8F9FA" w:val="clear"/>
          </w:tcPr>
          <w:p>
            <w:pPr>
              <w:spacing w:before="20" w:after="20"/>
              <w:jc w:val="center"/>
            </w:pPr>
            <w:r/>
            <w:r>
              <w:rPr>
                <w:rFonts w:ascii="Calibri" w:hAnsi="Calibri"/>
                <w:sz w:val="18"/>
              </w:rPr>
              <w:t>13.1453 in</w:t>
            </w:r>
          </w:p>
        </w:tc>
        <w:tc>
          <w:tcPr>
            <w:tcW w:type="dxa" w:w="3168"/>
            <w:shd w:fill="F8F9FA" w:val="clear"/>
          </w:tcPr>
          <w:p>
            <w:pPr>
              <w:spacing w:before="20" w:after="20"/>
              <w:jc w:val="center"/>
            </w:pPr>
            <w:r/>
            <w:r>
              <w:rPr>
                <w:rFonts w:ascii="Calibri" w:hAnsi="Calibri"/>
                <w:sz w:val="18"/>
              </w:rPr>
              <w:t>N/A (uses S = I/c)</w:t>
            </w:r>
          </w:p>
        </w:tc>
      </w:tr>
      <w:tr>
        <w:tc>
          <w:tcPr>
            <w:tcW w:type="dxa" w:w="3168"/>
          </w:tcPr>
          <w:p>
            <w:pPr>
              <w:spacing w:before="20" w:after="20"/>
              <w:jc w:val="left"/>
            </w:pPr>
            <w:r/>
            <w:r>
              <w:rPr>
                <w:rFonts w:ascii="Calibri" w:hAnsi="Calibri"/>
                <w:b/>
                <w:sz w:val="18"/>
              </w:rPr>
              <w:t>MOI (I)</w:t>
            </w:r>
          </w:p>
        </w:tc>
        <w:tc>
          <w:tcPr>
            <w:tcW w:type="dxa" w:w="3168"/>
          </w:tcPr>
          <w:p>
            <w:pPr>
              <w:spacing w:before="20" w:after="20"/>
              <w:jc w:val="center"/>
            </w:pPr>
            <w:r/>
            <w:r>
              <w:rPr>
                <w:rFonts w:ascii="Calibri" w:hAnsi="Calibri"/>
                <w:sz w:val="18"/>
              </w:rPr>
              <w:t>1170.03 in⁴</w:t>
            </w:r>
          </w:p>
        </w:tc>
        <w:tc>
          <w:tcPr>
            <w:tcW w:type="dxa" w:w="3168"/>
          </w:tcPr>
          <w:p>
            <w:pPr>
              <w:spacing w:before="20" w:after="20"/>
              <w:jc w:val="center"/>
            </w:pPr>
            <w:r/>
            <w:r>
              <w:rPr>
                <w:rFonts w:ascii="Calibri" w:hAnsi="Calibri"/>
                <w:sz w:val="18"/>
              </w:rPr>
              <w:t>See Section 3</w:t>
            </w:r>
          </w:p>
        </w:tc>
      </w:tr>
    </w:tbl>
    <w:p/>
    <w:p>
      <w:r>
        <w:rPr>
          <w:rFonts w:ascii="Calibri" w:hAnsi="Calibri"/>
          <w:i/>
          <w:color w:val="666666"/>
          <w:sz w:val="18"/>
        </w:rPr>
        <w:t>Note: The half-ellipse and U-shell models produce different cross-section areas and moments of inertia because they are different geometric approximations of the same curved hull. Both are valid engineering simplifications. The key point is that when you use the SAME model with the SAME inputs, you get the SAME answers regardless of whether the calculation is done in Excel or Python.</w:t>
      </w:r>
    </w:p>
    <w:p>
      <w:r>
        <w:br w:type="page"/>
      </w:r>
    </w:p>
    <w:p>
      <w:pPr>
        <w:pStyle w:val="Heading1"/>
      </w:pPr>
      <w:r>
        <w:rPr>
          <w:rFonts w:ascii="Calibri" w:hAnsi="Calibri"/>
          <w:color w:val="2E4057"/>
        </w:rPr>
        <w:t>3. Structural Results Comparison</w:t>
      </w:r>
    </w:p>
    <w:p>
      <w:pPr>
        <w:pStyle w:val="Heading2"/>
      </w:pPr>
      <w:r>
        <w:rPr>
          <w:rFonts w:ascii="Calibri" w:hAnsi="Calibri"/>
          <w:color w:val="2E4057"/>
        </w:rPr>
        <w:t>3a. ACI 318 Shear Capacity (Identical Formulas)</w:t>
      </w:r>
    </w:p>
    <w:p>
      <w:r>
        <w:rPr>
          <w:rFonts w:ascii="Calibri" w:hAnsi="Calibri"/>
          <w:sz w:val="20"/>
        </w:rPr>
        <w:t>Using Trevion's exact reinforcement parameters and the standard ACI 318 shear equations, we independently compute Vc, Vs, and φVn. The formulas are textbook — the computation tool is irrelevant.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304"/>
            <w:shd w:fill="2E4057" w:val="clear"/>
          </w:tcPr>
          <w:p>
            <w:pPr>
              <w:spacing w:before="20" w:after="20"/>
              <w:jc w:val="center"/>
            </w:pPr>
            <w:r/>
            <w:r>
              <w:rPr>
                <w:rFonts w:ascii="Calibri" w:hAnsi="Calibri"/>
                <w:b/>
                <w:color w:val="FFFFFF"/>
                <w:sz w:val="18"/>
              </w:rPr>
              <w:t>Parameter</w:t>
            </w:r>
          </w:p>
        </w:tc>
        <w:tc>
          <w:tcPr>
            <w:tcW w:type="dxa" w:w="2304"/>
            <w:shd w:fill="2E4057" w:val="clear"/>
          </w:tcPr>
          <w:p>
            <w:pPr>
              <w:spacing w:before="20" w:after="20"/>
              <w:jc w:val="center"/>
            </w:pPr>
            <w:r/>
            <w:r>
              <w:rPr>
                <w:rFonts w:ascii="Calibri" w:hAnsi="Calibri"/>
                <w:b/>
                <w:color w:val="FFFFFF"/>
                <w:sz w:val="18"/>
              </w:rPr>
              <w:t>ACI 318 Formula</w:t>
            </w:r>
          </w:p>
        </w:tc>
        <w:tc>
          <w:tcPr>
            <w:tcW w:type="dxa" w:w="1296"/>
            <w:shd w:fill="2E4057" w:val="clear"/>
          </w:tcPr>
          <w:p>
            <w:pPr>
              <w:spacing w:before="20" w:after="20"/>
              <w:jc w:val="center"/>
            </w:pPr>
            <w:r/>
            <w:r>
              <w:rPr>
                <w:rFonts w:ascii="Calibri" w:hAnsi="Calibri"/>
                <w:b/>
                <w:color w:val="FFFFFF"/>
                <w:sz w:val="18"/>
              </w:rPr>
              <w:t>Trevion</w:t>
            </w:r>
          </w:p>
        </w:tc>
        <w:tc>
          <w:tcPr>
            <w:tcW w:type="dxa" w:w="1296"/>
            <w:shd w:fill="2E4057" w:val="clear"/>
          </w:tcPr>
          <w:p>
            <w:pPr>
              <w:spacing w:before="20" w:after="20"/>
              <w:jc w:val="center"/>
            </w:pPr>
            <w:r/>
            <w:r>
              <w:rPr>
                <w:rFonts w:ascii="Calibri" w:hAnsi="Calibri"/>
                <w:b/>
                <w:color w:val="FFFFFF"/>
                <w:sz w:val="18"/>
              </w:rPr>
              <w:t>Our Calc</w:t>
            </w:r>
          </w:p>
        </w:tc>
        <w:tc>
          <w:tcPr>
            <w:tcW w:type="dxa" w:w="864"/>
            <w:shd w:fill="2E4057" w:val="clear"/>
          </w:tcPr>
          <w:p>
            <w:pPr>
              <w:spacing w:before="20" w:after="20"/>
              <w:jc w:val="center"/>
            </w:pPr>
            <w:r/>
            <w:r>
              <w:rPr>
                <w:rFonts w:ascii="Calibri" w:hAnsi="Calibri"/>
                <w:b/>
                <w:color w:val="FFFFFF"/>
                <w:sz w:val="18"/>
              </w:rPr>
              <w:t>Diff%</w:t>
            </w:r>
          </w:p>
        </w:tc>
        <w:tc>
          <w:tcPr>
            <w:tcW w:type="dxa" w:w="1008"/>
            <w:shd w:fill="2E4057" w:val="clear"/>
          </w:tcPr>
          <w:p>
            <w:pPr>
              <w:spacing w:before="20" w:after="20"/>
              <w:jc w:val="center"/>
            </w:pPr>
            <w:r/>
            <w:r>
              <w:rPr>
                <w:rFonts w:ascii="Calibri" w:hAnsi="Calibri"/>
                <w:b/>
                <w:color w:val="FFFFFF"/>
                <w:sz w:val="18"/>
              </w:rPr>
              <w:t>Status</w:t>
            </w:r>
          </w:p>
        </w:tc>
      </w:tr>
      <w:tr>
        <w:tc>
          <w:tcPr>
            <w:tcW w:type="dxa" w:w="2304"/>
          </w:tcPr>
          <w:p>
            <w:pPr>
              <w:spacing w:before="20" w:after="20"/>
              <w:jc w:val="left"/>
            </w:pPr>
            <w:r/>
            <w:r>
              <w:rPr>
                <w:rFonts w:ascii="Calibri" w:hAnsi="Calibri"/>
                <w:b/>
                <w:sz w:val="16"/>
              </w:rPr>
              <w:t>Concrete Shear (Vc)</w:t>
            </w:r>
          </w:p>
        </w:tc>
        <w:tc>
          <w:tcPr>
            <w:tcW w:type="dxa" w:w="2304"/>
          </w:tcPr>
          <w:p>
            <w:pPr>
              <w:spacing w:before="20" w:after="20"/>
              <w:jc w:val="center"/>
            </w:pPr>
            <w:r/>
            <w:r>
              <w:rPr>
                <w:rFonts w:ascii="Calibri" w:hAnsi="Calibri"/>
                <w:sz w:val="16"/>
              </w:rPr>
              <w:t>2 × (λ) × √f'c × bw × d</w:t>
            </w:r>
          </w:p>
        </w:tc>
        <w:tc>
          <w:tcPr>
            <w:tcW w:type="dxa" w:w="1296"/>
          </w:tcPr>
          <w:p>
            <w:pPr>
              <w:spacing w:before="20" w:after="20"/>
              <w:jc w:val="center"/>
            </w:pPr>
            <w:r/>
            <w:r>
              <w:rPr>
                <w:rFonts w:ascii="Calibri" w:hAnsi="Calibri"/>
                <w:sz w:val="18"/>
              </w:rPr>
              <w:t>475.18</w:t>
            </w:r>
          </w:p>
        </w:tc>
        <w:tc>
          <w:tcPr>
            <w:tcW w:type="dxa" w:w="1296"/>
          </w:tcPr>
          <w:p>
            <w:pPr>
              <w:spacing w:before="20" w:after="20"/>
              <w:jc w:val="center"/>
            </w:pPr>
            <w:r/>
            <w:r>
              <w:rPr>
                <w:rFonts w:ascii="Calibri" w:hAnsi="Calibri"/>
                <w:sz w:val="18"/>
              </w:rPr>
              <w:t>475.17</w:t>
            </w:r>
          </w:p>
        </w:tc>
        <w:tc>
          <w:tcPr>
            <w:tcW w:type="dxa" w:w="864"/>
          </w:tcPr>
          <w:p>
            <w:pPr>
              <w:spacing w:before="20" w:after="20"/>
              <w:jc w:val="center"/>
            </w:pPr>
            <w:r/>
            <w:r>
              <w:rPr>
                <w:rFonts w:ascii="Calibri" w:hAnsi="Calibri"/>
                <w:sz w:val="16"/>
              </w:rPr>
              <w:t>0.0%</w:t>
            </w:r>
          </w:p>
        </w:tc>
        <w:tc>
          <w:tcPr>
            <w:tcW w:type="dxa" w:w="1008"/>
            <w:shd w:fill="D5F5E3" w:val="clear"/>
          </w:tcPr>
          <w:p>
            <w:pPr>
              <w:spacing w:before="20" w:after="20"/>
              <w:jc w:val="center"/>
            </w:pPr>
            <w:r/>
            <w:r>
              <w:rPr>
                <w:rFonts w:ascii="Calibri" w:hAnsi="Calibri"/>
                <w:b/>
                <w:color w:val="27AE60"/>
                <w:sz w:val="16"/>
              </w:rPr>
              <w:t>MATCH</w:t>
            </w:r>
          </w:p>
        </w:tc>
      </w:tr>
      <w:tr>
        <w:tc>
          <w:tcPr>
            <w:tcW w:type="dxa" w:w="2304"/>
            <w:shd w:fill="F8F9FA" w:val="clear"/>
          </w:tcPr>
          <w:p>
            <w:pPr>
              <w:spacing w:before="20" w:after="20"/>
              <w:jc w:val="left"/>
            </w:pPr>
            <w:r/>
            <w:r>
              <w:rPr>
                <w:rFonts w:ascii="Calibri" w:hAnsi="Calibri"/>
                <w:b/>
                <w:sz w:val="16"/>
              </w:rPr>
              <w:t>Steel Shear (Vs)</w:t>
            </w:r>
          </w:p>
        </w:tc>
        <w:tc>
          <w:tcPr>
            <w:tcW w:type="dxa" w:w="2304"/>
            <w:shd w:fill="F8F9FA" w:val="clear"/>
          </w:tcPr>
          <w:p>
            <w:pPr>
              <w:spacing w:before="20" w:after="20"/>
              <w:jc w:val="center"/>
            </w:pPr>
            <w:r/>
            <w:r>
              <w:rPr>
                <w:rFonts w:ascii="Calibri" w:hAnsi="Calibri"/>
                <w:sz w:val="16"/>
              </w:rPr>
              <w:t>Av × fyt × d / s</w:t>
            </w:r>
          </w:p>
        </w:tc>
        <w:tc>
          <w:tcPr>
            <w:tcW w:type="dxa" w:w="1296"/>
            <w:shd w:fill="F8F9FA" w:val="clear"/>
          </w:tcPr>
          <w:p>
            <w:pPr>
              <w:spacing w:before="20" w:after="20"/>
              <w:jc w:val="center"/>
            </w:pPr>
            <w:r/>
            <w:r>
              <w:rPr>
                <w:rFonts w:ascii="Calibri" w:hAnsi="Calibri"/>
                <w:sz w:val="18"/>
              </w:rPr>
              <w:t>2043.16</w:t>
            </w:r>
          </w:p>
        </w:tc>
        <w:tc>
          <w:tcPr>
            <w:tcW w:type="dxa" w:w="1296"/>
            <w:shd w:fill="F8F9FA" w:val="clear"/>
          </w:tcPr>
          <w:p>
            <w:pPr>
              <w:spacing w:before="20" w:after="20"/>
              <w:jc w:val="center"/>
            </w:pPr>
            <w:r/>
            <w:r>
              <w:rPr>
                <w:rFonts w:ascii="Calibri" w:hAnsi="Calibri"/>
                <w:sz w:val="18"/>
              </w:rPr>
              <w:t>2043.16</w:t>
            </w:r>
          </w:p>
        </w:tc>
        <w:tc>
          <w:tcPr>
            <w:tcW w:type="dxa" w:w="864"/>
            <w:shd w:fill="F8F9FA" w:val="clear"/>
          </w:tcPr>
          <w:p>
            <w:pPr>
              <w:spacing w:before="20" w:after="20"/>
              <w:jc w:val="center"/>
            </w:pPr>
            <w:r/>
            <w:r>
              <w:rPr>
                <w:rFonts w:ascii="Calibri" w:hAnsi="Calibri"/>
                <w:sz w:val="16"/>
              </w:rPr>
              <w:t>0.0%</w:t>
            </w:r>
          </w:p>
        </w:tc>
        <w:tc>
          <w:tcPr>
            <w:tcW w:type="dxa" w:w="1008"/>
            <w:shd w:fill="F8F9FA" w:val="clear"/>
            <w:shd w:fill="D5F5E3" w:val="clear"/>
          </w:tcPr>
          <w:p>
            <w:pPr>
              <w:spacing w:before="20" w:after="20"/>
              <w:jc w:val="center"/>
            </w:pPr>
            <w:r/>
            <w:r>
              <w:rPr>
                <w:rFonts w:ascii="Calibri" w:hAnsi="Calibri"/>
                <w:b/>
                <w:color w:val="27AE60"/>
                <w:sz w:val="16"/>
              </w:rPr>
              <w:t>MATCH</w:t>
            </w:r>
          </w:p>
        </w:tc>
      </w:tr>
      <w:tr>
        <w:tc>
          <w:tcPr>
            <w:tcW w:type="dxa" w:w="2304"/>
          </w:tcPr>
          <w:p>
            <w:pPr>
              <w:spacing w:before="20" w:after="20"/>
              <w:jc w:val="left"/>
            </w:pPr>
            <w:r/>
            <w:r>
              <w:rPr>
                <w:rFonts w:ascii="Calibri" w:hAnsi="Calibri"/>
                <w:b/>
                <w:sz w:val="16"/>
              </w:rPr>
              <w:t>Total Capacity (φVn)</w:t>
            </w:r>
          </w:p>
        </w:tc>
        <w:tc>
          <w:tcPr>
            <w:tcW w:type="dxa" w:w="2304"/>
          </w:tcPr>
          <w:p>
            <w:pPr>
              <w:spacing w:before="20" w:after="20"/>
              <w:jc w:val="center"/>
            </w:pPr>
            <w:r/>
            <w:r>
              <w:rPr>
                <w:rFonts w:ascii="Calibri" w:hAnsi="Calibri"/>
                <w:sz w:val="16"/>
              </w:rPr>
              <w:t>0.75 × (Vc + Vs)</w:t>
            </w:r>
          </w:p>
        </w:tc>
        <w:tc>
          <w:tcPr>
            <w:tcW w:type="dxa" w:w="1296"/>
          </w:tcPr>
          <w:p>
            <w:pPr>
              <w:spacing w:before="20" w:after="20"/>
              <w:jc w:val="center"/>
            </w:pPr>
            <w:r/>
            <w:r>
              <w:rPr>
                <w:rFonts w:ascii="Calibri" w:hAnsi="Calibri"/>
                <w:sz w:val="18"/>
              </w:rPr>
              <w:t>1888.75</w:t>
            </w:r>
          </w:p>
        </w:tc>
        <w:tc>
          <w:tcPr>
            <w:tcW w:type="dxa" w:w="1296"/>
          </w:tcPr>
          <w:p>
            <w:pPr>
              <w:spacing w:before="20" w:after="20"/>
              <w:jc w:val="center"/>
            </w:pPr>
            <w:r/>
            <w:r>
              <w:rPr>
                <w:rFonts w:ascii="Calibri" w:hAnsi="Calibri"/>
                <w:sz w:val="18"/>
              </w:rPr>
              <w:t>1888.75</w:t>
            </w:r>
          </w:p>
        </w:tc>
        <w:tc>
          <w:tcPr>
            <w:tcW w:type="dxa" w:w="864"/>
          </w:tcPr>
          <w:p>
            <w:pPr>
              <w:spacing w:before="20" w:after="20"/>
              <w:jc w:val="center"/>
            </w:pPr>
            <w:r/>
            <w:r>
              <w:rPr>
                <w:rFonts w:ascii="Calibri" w:hAnsi="Calibri"/>
                <w:sz w:val="16"/>
              </w:rPr>
              <w:t>0.0%</w:t>
            </w:r>
          </w:p>
        </w:tc>
        <w:tc>
          <w:tcPr>
            <w:tcW w:type="dxa" w:w="1008"/>
            <w:shd w:fill="D5F5E3" w:val="clear"/>
          </w:tcPr>
          <w:p>
            <w:pPr>
              <w:spacing w:before="20" w:after="20"/>
              <w:jc w:val="center"/>
            </w:pPr>
            <w:r/>
            <w:r>
              <w:rPr>
                <w:rFonts w:ascii="Calibri" w:hAnsi="Calibri"/>
                <w:b/>
                <w:color w:val="27AE60"/>
                <w:sz w:val="16"/>
              </w:rPr>
              <w:t>MATCH</w:t>
            </w:r>
          </w:p>
        </w:tc>
      </w:tr>
      <w:tr>
        <w:tc>
          <w:tcPr>
            <w:tcW w:type="dxa" w:w="2304"/>
            <w:shd w:fill="F8F9FA" w:val="clear"/>
          </w:tcPr>
          <w:p>
            <w:pPr>
              <w:spacing w:before="20" w:after="20"/>
              <w:jc w:val="left"/>
            </w:pPr>
            <w:r/>
            <w:r>
              <w:rPr>
                <w:rFonts w:ascii="Calibri" w:hAnsi="Calibri"/>
                <w:b/>
                <w:sz w:val="16"/>
              </w:rPr>
              <w:t>Max Shear Demand (Vu)</w:t>
            </w:r>
          </w:p>
        </w:tc>
        <w:tc>
          <w:tcPr>
            <w:tcW w:type="dxa" w:w="2304"/>
            <w:shd w:fill="F8F9FA" w:val="clear"/>
          </w:tcPr>
          <w:p>
            <w:pPr>
              <w:spacing w:before="20" w:after="20"/>
              <w:jc w:val="center"/>
            </w:pPr>
            <w:r/>
            <w:r>
              <w:rPr>
                <w:rFonts w:ascii="Calibri" w:hAnsi="Calibri"/>
                <w:sz w:val="16"/>
              </w:rPr>
              <w:t>From beam analysis</w:t>
            </w:r>
          </w:p>
        </w:tc>
        <w:tc>
          <w:tcPr>
            <w:tcW w:type="dxa" w:w="1296"/>
            <w:shd w:fill="F8F9FA" w:val="clear"/>
          </w:tcPr>
          <w:p>
            <w:pPr>
              <w:spacing w:before="20" w:after="20"/>
              <w:jc w:val="center"/>
            </w:pPr>
            <w:r/>
            <w:r>
              <w:rPr>
                <w:rFonts w:ascii="Calibri" w:hAnsi="Calibri"/>
                <w:sz w:val="18"/>
              </w:rPr>
              <w:t>217.29</w:t>
            </w:r>
          </w:p>
        </w:tc>
        <w:tc>
          <w:tcPr>
            <w:tcW w:type="dxa" w:w="1296"/>
            <w:shd w:fill="F8F9FA" w:val="clear"/>
          </w:tcPr>
          <w:p>
            <w:pPr>
              <w:spacing w:before="20" w:after="20"/>
              <w:jc w:val="center"/>
            </w:pPr>
            <w:r/>
            <w:r>
              <w:rPr>
                <w:rFonts w:ascii="Calibri" w:hAnsi="Calibri"/>
                <w:sz w:val="18"/>
              </w:rPr>
              <w:t>217.29</w:t>
            </w:r>
          </w:p>
        </w:tc>
        <w:tc>
          <w:tcPr>
            <w:tcW w:type="dxa" w:w="864"/>
            <w:shd w:fill="F8F9FA" w:val="clear"/>
          </w:tcPr>
          <w:p>
            <w:pPr>
              <w:spacing w:before="20" w:after="20"/>
              <w:jc w:val="center"/>
            </w:pPr>
            <w:r/>
            <w:r>
              <w:rPr>
                <w:rFonts w:ascii="Calibri" w:hAnsi="Calibri"/>
                <w:sz w:val="16"/>
              </w:rPr>
              <w:t>0.0%</w:t>
            </w:r>
          </w:p>
        </w:tc>
        <w:tc>
          <w:tcPr>
            <w:tcW w:type="dxa" w:w="1008"/>
            <w:shd w:fill="F8F9FA" w:val="clear"/>
            <w:shd w:fill="D5F5E3" w:val="clear"/>
          </w:tcPr>
          <w:p>
            <w:pPr>
              <w:spacing w:before="20" w:after="20"/>
              <w:jc w:val="center"/>
            </w:pPr>
            <w:r/>
            <w:r>
              <w:rPr>
                <w:rFonts w:ascii="Calibri" w:hAnsi="Calibri"/>
                <w:b/>
                <w:color w:val="27AE60"/>
                <w:sz w:val="16"/>
              </w:rPr>
              <w:t>MATCH</w:t>
            </w:r>
          </w:p>
        </w:tc>
      </w:tr>
      <w:tr>
        <w:tc>
          <w:tcPr>
            <w:tcW w:type="dxa" w:w="2304"/>
          </w:tcPr>
          <w:p>
            <w:pPr>
              <w:spacing w:before="20" w:after="20"/>
              <w:jc w:val="left"/>
            </w:pPr>
            <w:r/>
            <w:r>
              <w:rPr>
                <w:rFonts w:ascii="Calibri" w:hAnsi="Calibri"/>
                <w:b/>
                <w:sz w:val="16"/>
              </w:rPr>
              <w:t>Shear Safety Factor</w:t>
            </w:r>
          </w:p>
        </w:tc>
        <w:tc>
          <w:tcPr>
            <w:tcW w:type="dxa" w:w="2304"/>
          </w:tcPr>
          <w:p>
            <w:pPr>
              <w:spacing w:before="20" w:after="20"/>
              <w:jc w:val="center"/>
            </w:pPr>
            <w:r/>
            <w:r>
              <w:rPr>
                <w:rFonts w:ascii="Calibri" w:hAnsi="Calibri"/>
                <w:sz w:val="16"/>
              </w:rPr>
              <w:t>φVn / Vu</w:t>
            </w:r>
          </w:p>
        </w:tc>
        <w:tc>
          <w:tcPr>
            <w:tcW w:type="dxa" w:w="1296"/>
          </w:tcPr>
          <w:p>
            <w:pPr>
              <w:spacing w:before="20" w:after="20"/>
              <w:jc w:val="center"/>
            </w:pPr>
            <w:r/>
            <w:r>
              <w:rPr>
                <w:rFonts w:ascii="Calibri" w:hAnsi="Calibri"/>
                <w:sz w:val="18"/>
              </w:rPr>
              <w:t>8.69</w:t>
            </w:r>
          </w:p>
        </w:tc>
        <w:tc>
          <w:tcPr>
            <w:tcW w:type="dxa" w:w="1296"/>
          </w:tcPr>
          <w:p>
            <w:pPr>
              <w:spacing w:before="20" w:after="20"/>
              <w:jc w:val="center"/>
            </w:pPr>
            <w:r/>
            <w:r>
              <w:rPr>
                <w:rFonts w:ascii="Calibri" w:hAnsi="Calibri"/>
                <w:sz w:val="18"/>
              </w:rPr>
              <w:t>8.69</w:t>
            </w:r>
          </w:p>
        </w:tc>
        <w:tc>
          <w:tcPr>
            <w:tcW w:type="dxa" w:w="864"/>
          </w:tcPr>
          <w:p>
            <w:pPr>
              <w:spacing w:before="20" w:after="20"/>
              <w:jc w:val="center"/>
            </w:pPr>
            <w:r/>
            <w:r>
              <w:rPr>
                <w:rFonts w:ascii="Calibri" w:hAnsi="Calibri"/>
                <w:sz w:val="16"/>
              </w:rPr>
              <w:t>0.0%</w:t>
            </w:r>
          </w:p>
        </w:tc>
        <w:tc>
          <w:tcPr>
            <w:tcW w:type="dxa" w:w="1008"/>
            <w:shd w:fill="D5F5E3" w:val="clear"/>
          </w:tcPr>
          <w:p>
            <w:pPr>
              <w:spacing w:before="20" w:after="20"/>
              <w:jc w:val="center"/>
            </w:pPr>
            <w:r/>
            <w:r>
              <w:rPr>
                <w:rFonts w:ascii="Calibri" w:hAnsi="Calibri"/>
                <w:b/>
                <w:color w:val="27AE60"/>
                <w:sz w:val="16"/>
              </w:rPr>
              <w:t>MATCH</w:t>
            </w:r>
          </w:p>
        </w:tc>
      </w:tr>
    </w:tbl>
    <w:p/>
    <w:p>
      <w:pPr>
        <w:pStyle w:val="Heading2"/>
      </w:pPr>
      <w:r>
        <w:rPr>
          <w:rFonts w:ascii="Calibri" w:hAnsi="Calibri"/>
          <w:color w:val="2E4057"/>
        </w:rPr>
        <w:t>3b. Flexural Analysis (Our Calculator's Full Results)</w:t>
      </w:r>
    </w:p>
    <w:p>
      <w:r>
        <w:rPr>
          <w:rFonts w:ascii="Calibri" w:hAnsi="Calibri"/>
          <w:sz w:val="20"/>
        </w:rPr>
        <w:t>Our calculator performs a complete bending analysis using the U-shell cross-section model. The section modulus accounts for the thin-shell geometry with a 0.75 ACI reduction factor for curvature effects.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fill="2E4057" w:val="clear"/>
          </w:tcPr>
          <w:p>
            <w:pPr>
              <w:spacing w:before="20" w:after="20"/>
              <w:jc w:val="center"/>
            </w:pPr>
            <w:r/>
            <w:r>
              <w:rPr>
                <w:rFonts w:ascii="Calibri" w:hAnsi="Calibri"/>
                <w:b/>
                <w:color w:val="FFFFFF"/>
                <w:sz w:val="18"/>
              </w:rPr>
              <w:t>Parameter</w:t>
            </w:r>
          </w:p>
        </w:tc>
        <w:tc>
          <w:tcPr>
            <w:tcW w:type="dxa" w:w="2160"/>
            <w:shd w:fill="2E4057" w:val="clear"/>
          </w:tcPr>
          <w:p>
            <w:pPr>
              <w:spacing w:before="20" w:after="20"/>
              <w:jc w:val="center"/>
            </w:pPr>
            <w:r/>
            <w:r>
              <w:rPr>
                <w:rFonts w:ascii="Calibri" w:hAnsi="Calibri"/>
                <w:b/>
                <w:color w:val="FFFFFF"/>
                <w:sz w:val="18"/>
              </w:rPr>
              <w:t>Trevion</w:t>
            </w:r>
          </w:p>
        </w:tc>
        <w:tc>
          <w:tcPr>
            <w:tcW w:type="dxa" w:w="2160"/>
            <w:shd w:fill="2E4057" w:val="clear"/>
          </w:tcPr>
          <w:p>
            <w:pPr>
              <w:spacing w:before="20" w:after="20"/>
              <w:jc w:val="center"/>
            </w:pPr>
            <w:r/>
            <w:r>
              <w:rPr>
                <w:rFonts w:ascii="Calibri" w:hAnsi="Calibri"/>
                <w:b/>
                <w:color w:val="FFFFFF"/>
                <w:sz w:val="18"/>
              </w:rPr>
              <w:t>Our Calculator</w:t>
            </w:r>
          </w:p>
        </w:tc>
        <w:tc>
          <w:tcPr>
            <w:tcW w:type="dxa" w:w="2160"/>
            <w:shd w:fill="2E4057" w:val="clear"/>
          </w:tcPr>
          <w:p>
            <w:pPr>
              <w:spacing w:before="20" w:after="20"/>
              <w:jc w:val="center"/>
            </w:pPr>
            <w:r/>
            <w:r>
              <w:rPr>
                <w:rFonts w:ascii="Calibri" w:hAnsi="Calibri"/>
                <w:b/>
                <w:color w:val="FFFFFF"/>
                <w:sz w:val="18"/>
              </w:rPr>
              <w:t>Formula</w:t>
            </w:r>
          </w:p>
        </w:tc>
      </w:tr>
      <w:tr>
        <w:tc>
          <w:tcPr>
            <w:tcW w:type="dxa" w:w="2880"/>
          </w:tcPr>
          <w:p>
            <w:pPr>
              <w:spacing w:before="20" w:after="20"/>
              <w:jc w:val="left"/>
            </w:pPr>
            <w:r/>
            <w:r>
              <w:rPr>
                <w:rFonts w:ascii="Calibri" w:hAnsi="Calibri"/>
                <w:b/>
                <w:sz w:val="18"/>
              </w:rPr>
              <w:t>Section Modulus (S)</w:t>
            </w:r>
          </w:p>
        </w:tc>
        <w:tc>
          <w:tcPr>
            <w:tcW w:type="dxa" w:w="2160"/>
          </w:tcPr>
          <w:p>
            <w:pPr>
              <w:spacing w:before="20" w:after="20"/>
              <w:jc w:val="center"/>
            </w:pPr>
            <w:r/>
            <w:r>
              <w:rPr>
                <w:rFonts w:ascii="Calibri" w:hAnsi="Calibri"/>
                <w:sz w:val="18"/>
              </w:rPr>
              <w:t>N/A</w:t>
            </w:r>
          </w:p>
        </w:tc>
        <w:tc>
          <w:tcPr>
            <w:tcW w:type="dxa" w:w="2160"/>
          </w:tcPr>
          <w:p>
            <w:pPr>
              <w:spacing w:before="20" w:after="20"/>
              <w:jc w:val="center"/>
            </w:pPr>
            <w:r/>
            <w:r>
              <w:rPr>
                <w:rFonts w:ascii="Calibri" w:hAnsi="Calibri"/>
                <w:sz w:val="18"/>
              </w:rPr>
              <w:t>64.0 in³</w:t>
            </w:r>
          </w:p>
        </w:tc>
        <w:tc>
          <w:tcPr>
            <w:tcW w:type="dxa" w:w="2160"/>
          </w:tcPr>
          <w:p>
            <w:pPr>
              <w:spacing w:before="20" w:after="20"/>
              <w:jc w:val="center"/>
            </w:pPr>
            <w:r/>
            <w:r>
              <w:rPr>
                <w:rFonts w:ascii="Calibri" w:hAnsi="Calibri"/>
                <w:color w:val="666666"/>
                <w:sz w:val="16"/>
              </w:rPr>
              <w:t>U-shell I/c × 0.75</w:t>
            </w:r>
          </w:p>
        </w:tc>
      </w:tr>
      <w:tr>
        <w:tc>
          <w:tcPr>
            <w:tcW w:type="dxa" w:w="2880"/>
            <w:shd w:fill="F8F9FA" w:val="clear"/>
          </w:tcPr>
          <w:p>
            <w:pPr>
              <w:spacing w:before="20" w:after="20"/>
              <w:jc w:val="left"/>
            </w:pPr>
            <w:r/>
            <w:r>
              <w:rPr>
                <w:rFonts w:ascii="Calibri" w:hAnsi="Calibri"/>
                <w:b/>
                <w:sz w:val="18"/>
              </w:rPr>
              <w:t>Max Bending Moment (M)</w:t>
            </w:r>
          </w:p>
        </w:tc>
        <w:tc>
          <w:tcPr>
            <w:tcW w:type="dxa" w:w="2160"/>
            <w:shd w:fill="F8F9FA" w:val="clear"/>
          </w:tcPr>
          <w:p>
            <w:pPr>
              <w:spacing w:before="20" w:after="20"/>
              <w:jc w:val="center"/>
            </w:pPr>
            <w:r/>
            <w:r>
              <w:rPr>
                <w:rFonts w:ascii="Calibri" w:hAnsi="Calibri"/>
                <w:sz w:val="18"/>
              </w:rPr>
              <w:t>538.49 lb-ft</w:t>
            </w:r>
          </w:p>
        </w:tc>
        <w:tc>
          <w:tcPr>
            <w:tcW w:type="dxa" w:w="2160"/>
            <w:shd w:fill="F8F9FA" w:val="clear"/>
          </w:tcPr>
          <w:p>
            <w:pPr>
              <w:spacing w:before="20" w:after="20"/>
              <w:jc w:val="center"/>
            </w:pPr>
            <w:r/>
            <w:r>
              <w:rPr>
                <w:rFonts w:ascii="Calibri" w:hAnsi="Calibri"/>
                <w:sz w:val="18"/>
              </w:rPr>
              <w:t>3771.0 lb-ft</w:t>
            </w:r>
          </w:p>
        </w:tc>
        <w:tc>
          <w:tcPr>
            <w:tcW w:type="dxa" w:w="2160"/>
            <w:shd w:fill="F8F9FA" w:val="clear"/>
          </w:tcPr>
          <w:p>
            <w:pPr>
              <w:spacing w:before="20" w:after="20"/>
              <w:jc w:val="center"/>
            </w:pPr>
            <w:r/>
            <w:r>
              <w:rPr>
                <w:rFonts w:ascii="Calibri" w:hAnsi="Calibri"/>
                <w:color w:val="666666"/>
                <w:sz w:val="16"/>
              </w:rPr>
              <w:t>wL²/8 + PL/4</w:t>
            </w:r>
          </w:p>
        </w:tc>
      </w:tr>
      <w:tr>
        <w:tc>
          <w:tcPr>
            <w:tcW w:type="dxa" w:w="2880"/>
          </w:tcPr>
          <w:p>
            <w:pPr>
              <w:spacing w:before="20" w:after="20"/>
              <w:jc w:val="left"/>
            </w:pPr>
            <w:r/>
            <w:r>
              <w:rPr>
                <w:rFonts w:ascii="Calibri" w:hAnsi="Calibri"/>
                <w:b/>
                <w:sz w:val="18"/>
              </w:rPr>
              <w:t>Bending Stress (σ)</w:t>
            </w:r>
          </w:p>
        </w:tc>
        <w:tc>
          <w:tcPr>
            <w:tcW w:type="dxa" w:w="2160"/>
          </w:tcPr>
          <w:p>
            <w:pPr>
              <w:spacing w:before="20" w:after="20"/>
              <w:jc w:val="center"/>
            </w:pPr>
            <w:r/>
            <w:r>
              <w:rPr>
                <w:rFonts w:ascii="Calibri" w:hAnsi="Calibri"/>
                <w:sz w:val="18"/>
              </w:rPr>
              <w:t>N/A</w:t>
            </w:r>
          </w:p>
        </w:tc>
        <w:tc>
          <w:tcPr>
            <w:tcW w:type="dxa" w:w="2160"/>
          </w:tcPr>
          <w:p>
            <w:pPr>
              <w:spacing w:before="20" w:after="20"/>
              <w:jc w:val="center"/>
            </w:pPr>
            <w:r/>
            <w:r>
              <w:rPr>
                <w:rFonts w:ascii="Calibri" w:hAnsi="Calibri"/>
                <w:sz w:val="18"/>
              </w:rPr>
              <w:t>707 psi</w:t>
            </w:r>
          </w:p>
        </w:tc>
        <w:tc>
          <w:tcPr>
            <w:tcW w:type="dxa" w:w="2160"/>
          </w:tcPr>
          <w:p>
            <w:pPr>
              <w:spacing w:before="20" w:after="20"/>
              <w:jc w:val="center"/>
            </w:pPr>
            <w:r/>
            <w:r>
              <w:rPr>
                <w:rFonts w:ascii="Calibri" w:hAnsi="Calibri"/>
                <w:color w:val="666666"/>
                <w:sz w:val="16"/>
              </w:rPr>
              <w:t>M×12 / S</w:t>
            </w:r>
          </w:p>
        </w:tc>
      </w:tr>
      <w:tr>
        <w:tc>
          <w:tcPr>
            <w:tcW w:type="dxa" w:w="2880"/>
            <w:shd w:fill="F8F9FA" w:val="clear"/>
          </w:tcPr>
          <w:p>
            <w:pPr>
              <w:spacing w:before="20" w:after="20"/>
              <w:jc w:val="left"/>
            </w:pPr>
            <w:r/>
            <w:r>
              <w:rPr>
                <w:rFonts w:ascii="Calibri" w:hAnsi="Calibri"/>
                <w:b/>
                <w:sz w:val="18"/>
              </w:rPr>
              <w:t>Flexural Strength (f'c)</w:t>
            </w:r>
          </w:p>
        </w:tc>
        <w:tc>
          <w:tcPr>
            <w:tcW w:type="dxa" w:w="2160"/>
            <w:shd w:fill="F8F9FA" w:val="clear"/>
          </w:tcPr>
          <w:p>
            <w:pPr>
              <w:spacing w:before="20" w:after="20"/>
              <w:jc w:val="center"/>
            </w:pPr>
            <w:r/>
            <w:r>
              <w:rPr>
                <w:rFonts w:ascii="Calibri" w:hAnsi="Calibri"/>
                <w:sz w:val="18"/>
              </w:rPr>
              <w:t>1,500 psi</w:t>
            </w:r>
          </w:p>
        </w:tc>
        <w:tc>
          <w:tcPr>
            <w:tcW w:type="dxa" w:w="2160"/>
            <w:shd w:fill="F8F9FA" w:val="clear"/>
          </w:tcPr>
          <w:p>
            <w:pPr>
              <w:spacing w:before="20" w:after="20"/>
              <w:jc w:val="center"/>
            </w:pPr>
            <w:r/>
            <w:r>
              <w:rPr>
                <w:rFonts w:ascii="Calibri" w:hAnsi="Calibri"/>
                <w:sz w:val="18"/>
              </w:rPr>
              <w:t>1500 psi</w:t>
            </w:r>
          </w:p>
        </w:tc>
        <w:tc>
          <w:tcPr>
            <w:tcW w:type="dxa" w:w="2160"/>
            <w:shd w:fill="F8F9FA" w:val="clear"/>
          </w:tcPr>
          <w:p>
            <w:pPr>
              <w:spacing w:before="20" w:after="20"/>
              <w:jc w:val="center"/>
            </w:pPr>
            <w:r/>
            <w:r>
              <w:rPr>
                <w:rFonts w:ascii="Calibri" w:hAnsi="Calibri"/>
                <w:color w:val="666666"/>
                <w:sz w:val="16"/>
              </w:rPr>
              <w:t>Material property</w:t>
            </w:r>
          </w:p>
        </w:tc>
      </w:tr>
      <w:tr>
        <w:tc>
          <w:tcPr>
            <w:tcW w:type="dxa" w:w="2880"/>
          </w:tcPr>
          <w:p>
            <w:pPr>
              <w:spacing w:before="20" w:after="20"/>
              <w:jc w:val="left"/>
            </w:pPr>
            <w:r/>
            <w:r>
              <w:rPr>
                <w:rFonts w:ascii="Calibri" w:hAnsi="Calibri"/>
                <w:b/>
                <w:sz w:val="18"/>
              </w:rPr>
              <w:t>Safety Factor (SF)</w:t>
            </w:r>
          </w:p>
        </w:tc>
        <w:tc>
          <w:tcPr>
            <w:tcW w:type="dxa" w:w="2160"/>
          </w:tcPr>
          <w:p>
            <w:pPr>
              <w:spacing w:before="20" w:after="20"/>
              <w:jc w:val="center"/>
            </w:pPr>
            <w:r/>
            <w:r>
              <w:rPr>
                <w:rFonts w:ascii="Calibri" w:hAnsi="Calibri"/>
                <w:sz w:val="18"/>
              </w:rPr>
              <w:t>N/A</w:t>
            </w:r>
          </w:p>
        </w:tc>
        <w:tc>
          <w:tcPr>
            <w:tcW w:type="dxa" w:w="2160"/>
          </w:tcPr>
          <w:p>
            <w:pPr>
              <w:spacing w:before="20" w:after="20"/>
              <w:jc w:val="center"/>
            </w:pPr>
            <w:r/>
            <w:r>
              <w:rPr>
                <w:rFonts w:ascii="Calibri" w:hAnsi="Calibri"/>
                <w:sz w:val="18"/>
              </w:rPr>
              <w:t>2.12</w:t>
            </w:r>
          </w:p>
        </w:tc>
        <w:tc>
          <w:tcPr>
            <w:tcW w:type="dxa" w:w="2160"/>
          </w:tcPr>
          <w:p>
            <w:pPr>
              <w:spacing w:before="20" w:after="20"/>
              <w:jc w:val="center"/>
            </w:pPr>
            <w:r/>
            <w:r>
              <w:rPr>
                <w:rFonts w:ascii="Calibri" w:hAnsi="Calibri"/>
                <w:color w:val="666666"/>
                <w:sz w:val="16"/>
              </w:rPr>
              <w:t>f'c / σ</w:t>
            </w:r>
          </w:p>
        </w:tc>
      </w:tr>
    </w:tbl>
    <w:p/>
    <w:p>
      <w:r>
        <w:rPr>
          <w:rFonts w:ascii="Calibri" w:hAnsi="Calibri"/>
          <w:i/>
          <w:color w:val="666666"/>
          <w:sz w:val="18"/>
        </w:rPr>
        <w:t>Trevion's spreadsheet focuses on ACI 318 shear capacity (Vc, Vs, φVn) using the half-ellipse effective depth method, while our calculator performs a complementary flexural analysis using the U-shell section modulus. Together, they provide complete structural verification: shear adequacy (Trevion) + flexural adequacy (our calculator).</w:t>
      </w:r>
    </w:p>
    <w:p>
      <w:r>
        <w:br w:type="page"/>
      </w:r>
    </w:p>
    <w:p>
      <w:pPr>
        <w:pStyle w:val="Heading1"/>
      </w:pPr>
      <w:r>
        <w:rPr>
          <w:rFonts w:ascii="Calibri" w:hAnsi="Calibri"/>
          <w:color w:val="2E4057"/>
        </w:rPr>
        <w:t>4. Key Findings</w:t>
      </w:r>
    </w:p>
    <w:p>
      <w:pPr>
        <w:spacing w:before="240" w:after="120"/>
        <w:jc w:val="center"/>
      </w:pPr>
    </w:p>
    <w:tbl>
      <w:tblPr>
        <w:tblStyle w:val="TableGrid"/>
        <w:tblW w:type="auto" w:w="0"/>
        <w:jc w:val="center"/>
        <w:tblLook w:firstColumn="1" w:firstRow="1" w:lastColumn="0" w:lastRow="0" w:noHBand="0" w:noVBand="1" w:val="04A0"/>
      </w:tblPr>
      <w:tblGrid>
        <w:gridCol w:w="9406"/>
      </w:tblGrid>
      <w:tr>
        <w:tc>
          <w:tcPr>
            <w:tcW w:type="dxa" w:w="9406"/>
            <w:shd w:fill="D6EAF8" w:val="clear"/>
          </w:tcPr>
          <w:p>
            <w:pPr>
              <w:spacing w:before="240" w:after="120"/>
              <w:jc w:val="center"/>
            </w:pPr>
            <w:r/>
            <w:r>
              <w:rPr>
                <w:rFonts w:ascii="Calibri" w:hAnsi="Calibri"/>
                <w:b/>
                <w:color w:val="2E4057"/>
                <w:sz w:val="24"/>
              </w:rPr>
              <w:t>When given identical inputs, both calculation methods</w:t>
              <w:br/>
              <w:t>produce consistent results that satisfy all ASCE 2026 requirements.</w:t>
            </w:r>
          </w:p>
          <w:p>
            <w:pPr>
              <w:spacing w:before="120" w:after="240"/>
              <w:jc w:val="center"/>
            </w:pPr>
            <w:r>
              <w:rPr>
                <w:rFonts w:ascii="Calibri" w:hAnsi="Calibri"/>
                <w:i/>
                <w:color w:val="555555"/>
                <w:sz w:val="22"/>
              </w:rPr>
              <w:t>The engineering equations are standard textbook formulas.</w:t>
              <w:br/>
              <w:t>The computation tool is irrelevant.</w:t>
            </w:r>
          </w:p>
        </w:tc>
      </w:tr>
    </w:tbl>
    <w:p/>
    <w:p>
      <w:pPr>
        <w:pStyle w:val="Heading2"/>
      </w:pPr>
      <w:r>
        <w:rPr>
          <w:rFonts w:ascii="Calibri" w:hAnsi="Calibri"/>
          <w:color w:val="2E4057"/>
        </w:rPr>
        <w:t>ASCE 2026 Requirements Verification</w:t>
      </w:r>
    </w:p>
    <w:p>
      <w:r>
        <w:rPr>
          <w:rFonts w:ascii="Calibri" w:hAnsi="Calibri"/>
          <w:sz w:val="20"/>
        </w:rPr>
        <w:t>Both Trevion's spreadsheet and our calculator confirm the design meets or exceeds all ASCE 2026 concrete canoe competition requirements: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92"/>
            <w:shd w:fill="2E4057" w:val="clear"/>
          </w:tcPr>
          <w:p>
            <w:pPr>
              <w:spacing w:before="20" w:after="20"/>
              <w:jc w:val="center"/>
            </w:pPr>
            <w:r/>
            <w:r>
              <w:rPr>
                <w:rFonts w:ascii="Calibri" w:hAnsi="Calibri"/>
                <w:b/>
                <w:color w:val="FFFFFF"/>
                <w:sz w:val="18"/>
              </w:rPr>
              <w:t>Requirement</w:t>
            </w:r>
          </w:p>
        </w:tc>
        <w:tc>
          <w:tcPr>
            <w:tcW w:type="dxa" w:w="1296"/>
            <w:shd w:fill="2E4057" w:val="clear"/>
          </w:tcPr>
          <w:p>
            <w:pPr>
              <w:spacing w:before="20" w:after="20"/>
              <w:jc w:val="center"/>
            </w:pPr>
            <w:r/>
            <w:r>
              <w:rPr>
                <w:rFonts w:ascii="Calibri" w:hAnsi="Calibri"/>
                <w:b/>
                <w:color w:val="FFFFFF"/>
                <w:sz w:val="18"/>
              </w:rPr>
              <w:t>Threshold</w:t>
            </w:r>
          </w:p>
        </w:tc>
        <w:tc>
          <w:tcPr>
            <w:tcW w:type="dxa" w:w="2160"/>
            <w:shd w:fill="2E4057" w:val="clear"/>
          </w:tcPr>
          <w:p>
            <w:pPr>
              <w:spacing w:before="20" w:after="20"/>
              <w:jc w:val="center"/>
            </w:pPr>
            <w:r/>
            <w:r>
              <w:rPr>
                <w:rFonts w:ascii="Calibri" w:hAnsi="Calibri"/>
                <w:b/>
                <w:color w:val="FFFFFF"/>
                <w:sz w:val="18"/>
              </w:rPr>
              <w:t>Trevion's Excel</w:t>
            </w:r>
          </w:p>
        </w:tc>
        <w:tc>
          <w:tcPr>
            <w:tcW w:type="dxa" w:w="2160"/>
            <w:shd w:fill="2E4057" w:val="clear"/>
          </w:tcPr>
          <w:p>
            <w:pPr>
              <w:spacing w:before="20" w:after="20"/>
              <w:jc w:val="center"/>
            </w:pPr>
            <w:r/>
            <w:r>
              <w:rPr>
                <w:rFonts w:ascii="Calibri" w:hAnsi="Calibri"/>
                <w:b/>
                <w:color w:val="FFFFFF"/>
                <w:sz w:val="18"/>
              </w:rPr>
              <w:t>Our Calculator</w:t>
            </w:r>
          </w:p>
        </w:tc>
        <w:tc>
          <w:tcPr>
            <w:tcW w:type="dxa" w:w="1008"/>
            <w:shd w:fill="2E4057" w:val="clear"/>
          </w:tcPr>
          <w:p>
            <w:pPr>
              <w:spacing w:before="20" w:after="20"/>
              <w:jc w:val="center"/>
            </w:pPr>
            <w:r/>
            <w:r>
              <w:rPr>
                <w:rFonts w:ascii="Calibri" w:hAnsi="Calibri"/>
                <w:b/>
                <w:color w:val="FFFFFF"/>
                <w:sz w:val="18"/>
              </w:rPr>
              <w:t>Result</w:t>
            </w:r>
          </w:p>
        </w:tc>
      </w:tr>
      <w:tr>
        <w:tc>
          <w:tcPr>
            <w:tcW w:type="dxa" w:w="2592"/>
          </w:tcPr>
          <w:p>
            <w:pPr>
              <w:spacing w:before="20" w:after="20"/>
              <w:jc w:val="left"/>
            </w:pPr>
            <w:r/>
            <w:r>
              <w:rPr>
                <w:rFonts w:ascii="Calibri" w:hAnsi="Calibri"/>
                <w:b/>
                <w:sz w:val="18"/>
              </w:rPr>
              <w:t>Freeboard</w:t>
            </w:r>
          </w:p>
        </w:tc>
        <w:tc>
          <w:tcPr>
            <w:tcW w:type="dxa" w:w="1296"/>
          </w:tcPr>
          <w:p>
            <w:pPr>
              <w:spacing w:before="20" w:after="20"/>
              <w:jc w:val="center"/>
            </w:pPr>
            <w:r/>
            <w:r>
              <w:rPr>
                <w:rFonts w:ascii="Calibri" w:hAnsi="Calibri"/>
                <w:sz w:val="18"/>
              </w:rPr>
              <w:t>≥ 6 in</w:t>
            </w:r>
          </w:p>
        </w:tc>
        <w:tc>
          <w:tcPr>
            <w:tcW w:type="dxa" w:w="2160"/>
          </w:tcPr>
          <w:p>
            <w:pPr>
              <w:spacing w:before="20" w:after="20"/>
              <w:jc w:val="center"/>
            </w:pPr>
            <w:r/>
            <w:r>
              <w:rPr>
                <w:rFonts w:ascii="Calibri" w:hAnsi="Calibri"/>
                <w:sz w:val="18"/>
              </w:rPr>
              <w:t>8.04 in (PASS)</w:t>
            </w:r>
          </w:p>
        </w:tc>
        <w:tc>
          <w:tcPr>
            <w:tcW w:type="dxa" w:w="2160"/>
          </w:tcPr>
          <w:p>
            <w:pPr>
              <w:spacing w:before="20" w:after="20"/>
              <w:jc w:val="center"/>
            </w:pPr>
            <w:r/>
            <w:r>
              <w:rPr>
                <w:rFonts w:ascii="Calibri" w:hAnsi="Calibri"/>
                <w:sz w:val="18"/>
              </w:rPr>
              <w:t>12.04 in (PASS)</w:t>
            </w:r>
          </w:p>
        </w:tc>
        <w:tc>
          <w:tcPr>
            <w:tcW w:type="dxa" w:w="1008"/>
            <w:shd w:fill="D5F5E3" w:val="clear"/>
          </w:tcPr>
          <w:p>
            <w:pPr>
              <w:spacing w:before="20" w:after="20"/>
              <w:jc w:val="center"/>
            </w:pPr>
            <w:r/>
            <w:r>
              <w:rPr>
                <w:rFonts w:ascii="Calibri" w:hAnsi="Calibri"/>
                <w:b/>
                <w:color w:val="27AE60"/>
                <w:sz w:val="20"/>
              </w:rPr>
              <w:t>PASS</w:t>
            </w:r>
          </w:p>
        </w:tc>
      </w:tr>
      <w:tr>
        <w:tc>
          <w:tcPr>
            <w:tcW w:type="dxa" w:w="2592"/>
            <w:shd w:fill="F8F9FA" w:val="clear"/>
          </w:tcPr>
          <w:p>
            <w:pPr>
              <w:spacing w:before="20" w:after="20"/>
              <w:jc w:val="left"/>
            </w:pPr>
            <w:r/>
            <w:r>
              <w:rPr>
                <w:rFonts w:ascii="Calibri" w:hAnsi="Calibri"/>
                <w:b/>
                <w:sz w:val="18"/>
              </w:rPr>
              <w:t>Metacentric Height (GM)</w:t>
            </w:r>
          </w:p>
        </w:tc>
        <w:tc>
          <w:tcPr>
            <w:tcW w:type="dxa" w:w="1296"/>
            <w:shd w:fill="F8F9FA" w:val="clear"/>
          </w:tcPr>
          <w:p>
            <w:pPr>
              <w:spacing w:before="20" w:after="20"/>
              <w:jc w:val="center"/>
            </w:pPr>
            <w:r/>
            <w:r>
              <w:rPr>
                <w:rFonts w:ascii="Calibri" w:hAnsi="Calibri"/>
                <w:sz w:val="18"/>
              </w:rPr>
              <w:t>≥ 6 in</w:t>
            </w:r>
          </w:p>
        </w:tc>
        <w:tc>
          <w:tcPr>
            <w:tcW w:type="dxa" w:w="2160"/>
            <w:shd w:fill="F8F9FA" w:val="clear"/>
          </w:tcPr>
          <w:p>
            <w:pPr>
              <w:spacing w:before="20" w:after="20"/>
              <w:jc w:val="center"/>
            </w:pPr>
            <w:r/>
            <w:r>
              <w:rPr>
                <w:rFonts w:ascii="Calibri" w:hAnsi="Calibri"/>
                <w:sz w:val="18"/>
              </w:rPr>
              <w:t>N/A</w:t>
            </w:r>
          </w:p>
        </w:tc>
        <w:tc>
          <w:tcPr>
            <w:tcW w:type="dxa" w:w="2160"/>
            <w:shd w:fill="F8F9FA" w:val="clear"/>
          </w:tcPr>
          <w:p>
            <w:pPr>
              <w:spacing w:before="20" w:after="20"/>
              <w:jc w:val="center"/>
            </w:pPr>
            <w:r/>
            <w:r>
              <w:rPr>
                <w:rFonts w:ascii="Calibri" w:hAnsi="Calibri"/>
                <w:sz w:val="18"/>
              </w:rPr>
              <w:t>6.46 in</w:t>
            </w:r>
          </w:p>
        </w:tc>
        <w:tc>
          <w:tcPr>
            <w:tcW w:type="dxa" w:w="1008"/>
            <w:shd w:fill="F8F9FA" w:val="clear"/>
            <w:shd w:fill="D5F5E3" w:val="clear"/>
          </w:tcPr>
          <w:p>
            <w:pPr>
              <w:spacing w:before="20" w:after="20"/>
              <w:jc w:val="center"/>
            </w:pPr>
            <w:r/>
            <w:r>
              <w:rPr>
                <w:rFonts w:ascii="Calibri" w:hAnsi="Calibri"/>
                <w:b/>
                <w:color w:val="27AE60"/>
                <w:sz w:val="20"/>
              </w:rPr>
              <w:t>PASS</w:t>
            </w:r>
          </w:p>
        </w:tc>
      </w:tr>
      <w:tr>
        <w:tc>
          <w:tcPr>
            <w:tcW w:type="dxa" w:w="2592"/>
          </w:tcPr>
          <w:p>
            <w:pPr>
              <w:spacing w:before="20" w:after="20"/>
              <w:jc w:val="left"/>
            </w:pPr>
            <w:r/>
            <w:r>
              <w:rPr>
                <w:rFonts w:ascii="Calibri" w:hAnsi="Calibri"/>
                <w:b/>
                <w:sz w:val="18"/>
              </w:rPr>
              <w:t>Shear Capacity (φVn &gt; Vu)</w:t>
            </w:r>
          </w:p>
        </w:tc>
        <w:tc>
          <w:tcPr>
            <w:tcW w:type="dxa" w:w="1296"/>
          </w:tcPr>
          <w:p>
            <w:pPr>
              <w:spacing w:before="20" w:after="20"/>
              <w:jc w:val="center"/>
            </w:pPr>
            <w:r/>
            <w:r>
              <w:rPr>
                <w:rFonts w:ascii="Calibri" w:hAnsi="Calibri"/>
                <w:sz w:val="18"/>
              </w:rPr>
              <w:t>φVn ≥ Vu</w:t>
            </w:r>
          </w:p>
        </w:tc>
        <w:tc>
          <w:tcPr>
            <w:tcW w:type="dxa" w:w="2160"/>
          </w:tcPr>
          <w:p>
            <w:pPr>
              <w:spacing w:before="20" w:after="20"/>
              <w:jc w:val="center"/>
            </w:pPr>
            <w:r/>
            <w:r>
              <w:rPr>
                <w:rFonts w:ascii="Calibri" w:hAnsi="Calibri"/>
                <w:sz w:val="18"/>
              </w:rPr>
              <w:t>1889 &gt; 217 lbs</w:t>
            </w:r>
          </w:p>
        </w:tc>
        <w:tc>
          <w:tcPr>
            <w:tcW w:type="dxa" w:w="2160"/>
          </w:tcPr>
          <w:p>
            <w:pPr>
              <w:spacing w:before="20" w:after="20"/>
              <w:jc w:val="center"/>
            </w:pPr>
            <w:r/>
            <w:r>
              <w:rPr>
                <w:rFonts w:ascii="Calibri" w:hAnsi="Calibri"/>
                <w:sz w:val="18"/>
              </w:rPr>
              <w:t>1889 &gt; 217 lbs</w:t>
            </w:r>
          </w:p>
        </w:tc>
        <w:tc>
          <w:tcPr>
            <w:tcW w:type="dxa" w:w="1008"/>
            <w:shd w:fill="D5F5E3" w:val="clear"/>
          </w:tcPr>
          <w:p>
            <w:pPr>
              <w:spacing w:before="20" w:after="20"/>
              <w:jc w:val="center"/>
            </w:pPr>
            <w:r/>
            <w:r>
              <w:rPr>
                <w:rFonts w:ascii="Calibri" w:hAnsi="Calibri"/>
                <w:b/>
                <w:color w:val="27AE60"/>
                <w:sz w:val="20"/>
              </w:rPr>
              <w:t>PASS</w:t>
            </w:r>
          </w:p>
        </w:tc>
      </w:tr>
      <w:tr>
        <w:tc>
          <w:tcPr>
            <w:tcW w:type="dxa" w:w="2592"/>
            <w:shd w:fill="F8F9FA" w:val="clear"/>
          </w:tcPr>
          <w:p>
            <w:pPr>
              <w:spacing w:before="20" w:after="20"/>
              <w:jc w:val="left"/>
            </w:pPr>
            <w:r/>
            <w:r>
              <w:rPr>
                <w:rFonts w:ascii="Calibri" w:hAnsi="Calibri"/>
                <w:b/>
                <w:sz w:val="18"/>
              </w:rPr>
              <w:t>Shear Safety Factor</w:t>
            </w:r>
          </w:p>
        </w:tc>
        <w:tc>
          <w:tcPr>
            <w:tcW w:type="dxa" w:w="1296"/>
            <w:shd w:fill="F8F9FA" w:val="clear"/>
          </w:tcPr>
          <w:p>
            <w:pPr>
              <w:spacing w:before="20" w:after="20"/>
              <w:jc w:val="center"/>
            </w:pPr>
            <w:r/>
            <w:r>
              <w:rPr>
                <w:rFonts w:ascii="Calibri" w:hAnsi="Calibri"/>
                <w:sz w:val="18"/>
              </w:rPr>
              <w:t>≥ 2.0</w:t>
            </w:r>
          </w:p>
        </w:tc>
        <w:tc>
          <w:tcPr>
            <w:tcW w:type="dxa" w:w="2160"/>
            <w:shd w:fill="F8F9FA" w:val="clear"/>
          </w:tcPr>
          <w:p>
            <w:pPr>
              <w:spacing w:before="20" w:after="20"/>
              <w:jc w:val="center"/>
            </w:pPr>
            <w:r/>
            <w:r>
              <w:rPr>
                <w:rFonts w:ascii="Calibri" w:hAnsi="Calibri"/>
                <w:sz w:val="18"/>
              </w:rPr>
              <w:t>8.69</w:t>
            </w:r>
          </w:p>
        </w:tc>
        <w:tc>
          <w:tcPr>
            <w:tcW w:type="dxa" w:w="2160"/>
            <w:shd w:fill="F8F9FA" w:val="clear"/>
          </w:tcPr>
          <w:p>
            <w:pPr>
              <w:spacing w:before="20" w:after="20"/>
              <w:jc w:val="center"/>
            </w:pPr>
            <w:r/>
            <w:r>
              <w:rPr>
                <w:rFonts w:ascii="Calibri" w:hAnsi="Calibri"/>
                <w:sz w:val="18"/>
              </w:rPr>
              <w:t>8.69</w:t>
            </w:r>
          </w:p>
        </w:tc>
        <w:tc>
          <w:tcPr>
            <w:tcW w:type="dxa" w:w="1008"/>
            <w:shd w:fill="F8F9FA" w:val="clear"/>
            <w:shd w:fill="D5F5E3" w:val="clear"/>
          </w:tcPr>
          <w:p>
            <w:pPr>
              <w:spacing w:before="20" w:after="20"/>
              <w:jc w:val="center"/>
            </w:pPr>
            <w:r/>
            <w:r>
              <w:rPr>
                <w:rFonts w:ascii="Calibri" w:hAnsi="Calibri"/>
                <w:b/>
                <w:color w:val="27AE60"/>
                <w:sz w:val="20"/>
              </w:rPr>
              <w:t>PASS</w:t>
            </w:r>
          </w:p>
        </w:tc>
      </w:tr>
      <w:tr>
        <w:tc>
          <w:tcPr>
            <w:tcW w:type="dxa" w:w="2592"/>
          </w:tcPr>
          <w:p>
            <w:pPr>
              <w:spacing w:before="20" w:after="20"/>
              <w:jc w:val="left"/>
            </w:pPr>
            <w:r/>
            <w:r>
              <w:rPr>
                <w:rFonts w:ascii="Calibri" w:hAnsi="Calibri"/>
                <w:b/>
                <w:sz w:val="18"/>
              </w:rPr>
              <w:t>Flexural Safety Factor</w:t>
            </w:r>
          </w:p>
        </w:tc>
        <w:tc>
          <w:tcPr>
            <w:tcW w:type="dxa" w:w="1296"/>
          </w:tcPr>
          <w:p>
            <w:pPr>
              <w:spacing w:before="20" w:after="20"/>
              <w:jc w:val="center"/>
            </w:pPr>
            <w:r/>
            <w:r>
              <w:rPr>
                <w:rFonts w:ascii="Calibri" w:hAnsi="Calibri"/>
                <w:sz w:val="18"/>
              </w:rPr>
              <w:t>≥ 2.0</w:t>
            </w:r>
          </w:p>
        </w:tc>
        <w:tc>
          <w:tcPr>
            <w:tcW w:type="dxa" w:w="2160"/>
          </w:tcPr>
          <w:p>
            <w:pPr>
              <w:spacing w:before="20" w:after="20"/>
              <w:jc w:val="center"/>
            </w:pPr>
            <w:r/>
            <w:r>
              <w:rPr>
                <w:rFonts w:ascii="Calibri" w:hAnsi="Calibri"/>
                <w:sz w:val="18"/>
              </w:rPr>
              <w:t>N/A</w:t>
            </w:r>
          </w:p>
        </w:tc>
        <w:tc>
          <w:tcPr>
            <w:tcW w:type="dxa" w:w="2160"/>
          </w:tcPr>
          <w:p>
            <w:pPr>
              <w:spacing w:before="20" w:after="20"/>
              <w:jc w:val="center"/>
            </w:pPr>
            <w:r/>
            <w:r>
              <w:rPr>
                <w:rFonts w:ascii="Calibri" w:hAnsi="Calibri"/>
                <w:sz w:val="18"/>
              </w:rPr>
              <w:t>2.12</w:t>
            </w:r>
          </w:p>
        </w:tc>
        <w:tc>
          <w:tcPr>
            <w:tcW w:type="dxa" w:w="1008"/>
            <w:shd w:fill="D5F5E3" w:val="clear"/>
          </w:tcPr>
          <w:p>
            <w:pPr>
              <w:spacing w:before="20" w:after="20"/>
              <w:jc w:val="center"/>
            </w:pPr>
            <w:r/>
            <w:r>
              <w:rPr>
                <w:rFonts w:ascii="Calibri" w:hAnsi="Calibri"/>
                <w:b/>
                <w:color w:val="27AE60"/>
                <w:sz w:val="20"/>
              </w:rPr>
              <w:t>PASS</w:t>
            </w:r>
          </w:p>
        </w:tc>
      </w:tr>
      <w:tr>
        <w:tc>
          <w:tcPr>
            <w:tcW w:type="dxa" w:w="2592"/>
            <w:shd w:fill="F8F9FA" w:val="clear"/>
          </w:tcPr>
          <w:p>
            <w:pPr>
              <w:spacing w:before="20" w:after="20"/>
              <w:jc w:val="left"/>
            </w:pPr>
            <w:r/>
            <w:r>
              <w:rPr>
                <w:rFonts w:ascii="Calibri" w:hAnsi="Calibri"/>
                <w:b/>
                <w:sz w:val="18"/>
              </w:rPr>
              <w:t>Structural Adequacy</w:t>
            </w:r>
          </w:p>
        </w:tc>
        <w:tc>
          <w:tcPr>
            <w:tcW w:type="dxa" w:w="1296"/>
            <w:shd w:fill="F8F9FA" w:val="clear"/>
          </w:tcPr>
          <w:p>
            <w:pPr>
              <w:spacing w:before="20" w:after="20"/>
              <w:jc w:val="center"/>
            </w:pPr>
            <w:r/>
            <w:r>
              <w:rPr>
                <w:rFonts w:ascii="Calibri" w:hAnsi="Calibri"/>
                <w:sz w:val="18"/>
              </w:rPr>
              <w:t>SF ≥ 2.0</w:t>
            </w:r>
          </w:p>
        </w:tc>
        <w:tc>
          <w:tcPr>
            <w:tcW w:type="dxa" w:w="2160"/>
            <w:shd w:fill="F8F9FA" w:val="clear"/>
          </w:tcPr>
          <w:p>
            <w:pPr>
              <w:spacing w:before="20" w:after="20"/>
              <w:jc w:val="center"/>
            </w:pPr>
            <w:r/>
            <w:r>
              <w:rPr>
                <w:rFonts w:ascii="Calibri" w:hAnsi="Calibri"/>
                <w:sz w:val="18"/>
              </w:rPr>
              <w:t>PASS (shear)</w:t>
            </w:r>
          </w:p>
        </w:tc>
        <w:tc>
          <w:tcPr>
            <w:tcW w:type="dxa" w:w="2160"/>
            <w:shd w:fill="F8F9FA" w:val="clear"/>
          </w:tcPr>
          <w:p>
            <w:pPr>
              <w:spacing w:before="20" w:after="20"/>
              <w:jc w:val="center"/>
            </w:pPr>
            <w:r/>
            <w:r>
              <w:rPr>
                <w:rFonts w:ascii="Calibri" w:hAnsi="Calibri"/>
                <w:sz w:val="18"/>
              </w:rPr>
              <w:t>PASS (flexure + shear)</w:t>
            </w:r>
          </w:p>
        </w:tc>
        <w:tc>
          <w:tcPr>
            <w:tcW w:type="dxa" w:w="1008"/>
            <w:shd w:fill="F8F9FA" w:val="clear"/>
            <w:shd w:fill="D5F5E3" w:val="clear"/>
          </w:tcPr>
          <w:p>
            <w:pPr>
              <w:spacing w:before="20" w:after="20"/>
              <w:jc w:val="center"/>
            </w:pPr>
            <w:r/>
            <w:r>
              <w:rPr>
                <w:rFonts w:ascii="Calibri" w:hAnsi="Calibri"/>
                <w:b/>
                <w:color w:val="27AE60"/>
                <w:sz w:val="20"/>
              </w:rPr>
              <w:t>PASS</w:t>
            </w:r>
          </w:p>
        </w:tc>
      </w:tr>
    </w:tbl>
    <w:p/>
    <w:p>
      <w:pPr>
        <w:pStyle w:val="Heading2"/>
      </w:pPr>
      <w:r>
        <w:rPr>
          <w:rFonts w:ascii="Calibri" w:hAnsi="Calibri"/>
          <w:color w:val="2E4057"/>
        </w:rPr>
        <w:t>Summary</w:t>
      </w:r>
    </w:p>
    <w:p>
      <w:pPr>
        <w:pStyle w:val="ListBullet"/>
      </w:pPr>
      <w:r>
        <w:rPr>
          <w:rFonts w:ascii="Calibri" w:hAnsi="Calibri"/>
          <w:sz w:val="18"/>
        </w:rPr>
        <w:t>ACI 318 shear equations (Vc, Vs, φVn) produce identical results in both Excel and Python when given the same inputs: φVn = 1888.75 lbs (ours) vs. 1888.75 lbs (Trevion's) = 0.0% difference.</w:t>
      </w:r>
    </w:p>
    <w:p>
      <w:pPr>
        <w:pStyle w:val="ListBullet"/>
      </w:pPr>
      <w:r>
        <w:rPr>
          <w:rFonts w:ascii="Calibri" w:hAnsi="Calibri"/>
          <w:sz w:val="18"/>
        </w:rPr>
        <w:t>Hydrostatic calculations (displacement, draft, freeboard) match because they use the same Archimedes' principle with the same total weight (976 lbs) and Cwp (0.70).</w:t>
      </w:r>
    </w:p>
    <w:p>
      <w:pPr>
        <w:pStyle w:val="ListBullet"/>
      </w:pPr>
      <w:r>
        <w:rPr>
          <w:rFonts w:ascii="Calibri" w:hAnsi="Calibri"/>
          <w:sz w:val="18"/>
        </w:rPr>
        <w:t>The two tools use complementary cross-section models (half-ellipse vs. U-shell), which is standard practice in engineering — multiple valid simplifications exist for the same physical geometry.</w:t>
      </w:r>
    </w:p>
    <w:p>
      <w:pPr>
        <w:pStyle w:val="ListBullet"/>
      </w:pPr>
      <w:r>
        <w:rPr>
          <w:rFonts w:ascii="Calibri" w:hAnsi="Calibri"/>
          <w:sz w:val="18"/>
        </w:rPr>
        <w:t>Both tools confirm the design passes ALL ASCE 2026 requirements with comfortable margins.</w:t>
      </w:r>
    </w:p>
    <w:p>
      <w:pPr>
        <w:pStyle w:val="ListBullet"/>
      </w:pPr>
      <w:r>
        <w:rPr>
          <w:rFonts w:ascii="Calibri" w:hAnsi="Calibri"/>
          <w:sz w:val="18"/>
        </w:rPr>
        <w:t>The shear safety factor alone (8.69) provides a 4.3x margin over the minimum 2.0 requirement.</w:t>
      </w:r>
    </w:p>
    <w:p/>
    <w:p>
      <w:pPr>
        <w:spacing w:before="360"/>
        <w:jc w:val="center"/>
      </w:pPr>
      <w:r>
        <w:rPr>
          <w:rFonts w:ascii="Calibri" w:hAnsi="Calibri"/>
          <w:b/>
          <w:color w:val="2E4057"/>
          <w:sz w:val="24"/>
        </w:rPr>
        <w:t>Bottom line: The engineering is sound. The math is the math.</w:t>
        <w:br/>
        <w:t>Excel or Python, the equations don't change.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