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Miles Lee - mlee276</w:t>
      </w:r>
    </w:p>
    <w:p w:rsidR="00000000" w:rsidDel="00000000" w:rsidP="00000000" w:rsidRDefault="00000000" w:rsidRPr="00000000" w14:paraId="00000002">
      <w:pPr>
        <w:rPr/>
      </w:pPr>
      <w:r w:rsidDel="00000000" w:rsidR="00000000" w:rsidRPr="00000000">
        <w:rPr>
          <w:rtl w:val="0"/>
        </w:rPr>
        <w:t xml:space="preserve">Jeremy Zhou - jzhou83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Since your Phase C submission, if you’ve made a shift in topic direction, included additional data, or made some other change to your plan, please write a few sentences to let us know, and explain why the change has occurred. If no modifications were needed, simply note that as your response for this part. Place your response in a file named README. Feel free to include in this file any other information you think your CA mentor or the instructor should know.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made the following changes: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Since a lot of our queries relied on weekly/monthly price change, we needed more than 15 data points in our “small” data files. Thus, we enlarged every small file except for Company-small.txt, per the following specifications.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Used 3 months of data per ticker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For SectorETF-small, only included the tickers: spy, xlc, xle, xlb, xli, xlk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 OptionVolume, only included the tickers: spy, xle, xlb, xli, xlk, xlv</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noticed that we only had stock price data up until 2017, but option volume data only started in 2019. To fix this, we shifted the option volume data back by four years.</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