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 Rawdah Perfumes Trading Co. L.L.C.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Behind Al Muhairy Centre, Khalidiya, Abu Dhabi.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Material Received Advice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970"/>
        <w:gridCol w:w="2040"/>
        <w:gridCol w:w="3210"/>
        <w:tblGridChange w:id="0">
          <w:tblGrid>
            <w:gridCol w:w="1710"/>
            <w:gridCol w:w="2970"/>
            <w:gridCol w:w="2040"/>
            <w:gridCol w:w="32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MRA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 note No: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person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Invoice No: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Mobile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Invoice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660"/>
        <w:gridCol w:w="915"/>
        <w:gridCol w:w="945"/>
        <w:gridCol w:w="1335"/>
        <w:gridCol w:w="1725"/>
        <w:tblGridChange w:id="0">
          <w:tblGrid>
            <w:gridCol w:w="1275"/>
            <w:gridCol w:w="3660"/>
            <w:gridCol w:w="915"/>
            <w:gridCol w:w="945"/>
            <w:gridCol w:w="1335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by:</w:t>
        <w:tab/>
        <w:tab/>
        <w:tab/>
        <w:tab/>
        <w:tab/>
        <w:tab/>
        <w:tab/>
        <w:t xml:space="preserve">Authorized by: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