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Platform -- AI Compliance and Governance</w:t>
      </w:r>
    </w:p>
    <w:p>
      <w:r>
        <w:rPr>
          <w:rFonts w:ascii="Arial" w:cs="Arial" w:eastAsia="Arial" w:hAnsi="Arial"/>
          <w:sz w:val="20"/>
          <w:szCs w:val="20"/>
        </w:rPr>
        <w:t xml:space="preserve">Comprehensive AI compliance and governance specification covering EU AI Act risk assessment, model cards, explainability reports, GDPR right to erasure, transparency obligations, provider usage policy compliance, and AI incident response plan.</w:t>
      </w:r>
    </w:p>
    <w:p>
      <w:r>
        <w:rPr>
          <w:rFonts w:ascii="Arial" w:cs="Arial" w:eastAsia="Arial" w:hAnsi="Arial"/>
          <w:sz w:val="20"/>
          <w:szCs w:val="20"/>
        </w:rPr>
        <w:t xml:space="preserve">Aria AI Platform | Architecture Series</w:t>
      </w:r>
    </w:p>
    <w:p/>
    <w:p>
      <w:pPr>
        <w:pStyle w:val="Heading1"/>
      </w:pPr>
      <w:r>
        <w:t xml:space="preserve">1. EU AI Act Risk Assessment</w:t>
      </w:r>
    </w:p>
    <w:p/>
    <w:p>
      <w:pPr>
        <w:pStyle w:val="Heading2"/>
      </w:pPr>
      <w:r>
        <w:t xml:space="preserve">1.1 System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color="E2E8F0" w:val="clear"/>
          </w:tcPr>
          <w:p>
            <w:r>
              <w:rPr>
                <w:rFonts w:ascii="Arial" w:cs="Arial" w:eastAsia="Arial" w:hAnsi="Arial"/>
                <w:b/>
                <w:bCs/>
                <w:sz w:val="18"/>
                <w:szCs w:val="18"/>
              </w:rPr>
              <w:t xml:space="preserve">Assessment dimension</w:t>
            </w:r>
          </w:p>
        </w:tc>
        <w:tc>
          <w:tcPr>
            <w:tcW w:type="dxa" w:w="6360"/>
            <w:shd w:color="E2E8F0" w:val="clear"/>
          </w:tcPr>
          <w:p>
            <w:r>
              <w:rPr>
                <w:rFonts w:ascii="Arial" w:cs="Arial" w:eastAsia="Arial" w:hAnsi="Arial"/>
                <w:b/>
                <w:bCs/>
                <w:sz w:val="18"/>
                <w:szCs w:val="18"/>
              </w:rPr>
              <w:t xml:space="preserve">Finding</w:t>
            </w:r>
          </w:p>
        </w:tc>
      </w:tr>
      <w:tr>
        <w:tc>
          <w:p>
            <w:r>
              <w:rPr>
                <w:rFonts w:ascii="Arial" w:cs="Arial" w:eastAsia="Arial" w:hAnsi="Arial"/>
                <w:b w:val="false"/>
                <w:bCs w:val="false"/>
                <w:sz w:val="18"/>
                <w:szCs w:val="18"/>
              </w:rPr>
              <w:t xml:space="preserve">System type</w:t>
            </w:r>
          </w:p>
        </w:tc>
        <w:tc>
          <w:p>
            <w:r>
              <w:rPr>
                <w:rFonts w:ascii="Arial" w:cs="Arial" w:eastAsia="Arial" w:hAnsi="Arial"/>
                <w:b w:val="false"/>
                <w:bCs w:val="false"/>
                <w:sz w:val="18"/>
                <w:szCs w:val="18"/>
              </w:rPr>
              <w:t xml:space="preserve">AI system that processes documents and recommends or executes categorisation decisions</w:t>
            </w:r>
          </w:p>
        </w:tc>
      </w:tr>
      <w:tr>
        <w:tc>
          <w:p>
            <w:r>
              <w:rPr>
                <w:rFonts w:ascii="Arial" w:cs="Arial" w:eastAsia="Arial" w:hAnsi="Arial"/>
                <w:b w:val="false"/>
                <w:bCs w:val="false"/>
                <w:sz w:val="18"/>
                <w:szCs w:val="18"/>
              </w:rPr>
              <w:t xml:space="preserve">Degree of automation</w:t>
            </w:r>
          </w:p>
        </w:tc>
        <w:tc>
          <w:p>
            <w:r>
              <w:rPr>
                <w:rFonts w:ascii="Arial" w:cs="Arial" w:eastAsia="Arial" w:hAnsi="Arial"/>
                <w:b w:val="false"/>
                <w:bCs w:val="false"/>
                <w:sz w:val="18"/>
                <w:szCs w:val="18"/>
              </w:rPr>
              <w:t xml:space="preserve">Hybrid: auto-confirms high-confidence documents, routes low-confidence to human review</w:t>
            </w:r>
          </w:p>
        </w:tc>
      </w:tr>
      <w:tr>
        <w:tc>
          <w:p>
            <w:r>
              <w:rPr>
                <w:rFonts w:ascii="Arial" w:cs="Arial" w:eastAsia="Arial" w:hAnsi="Arial"/>
                <w:b w:val="false"/>
                <w:bCs w:val="false"/>
                <w:sz w:val="18"/>
                <w:szCs w:val="18"/>
              </w:rPr>
              <w:t xml:space="preserve">Human oversight</w:t>
            </w:r>
          </w:p>
        </w:tc>
        <w:tc>
          <w:p>
            <w:r>
              <w:rPr>
                <w:rFonts w:ascii="Arial" w:cs="Arial" w:eastAsia="Arial" w:hAnsi="Arial"/>
                <w:b w:val="false"/>
                <w:bCs w:val="false"/>
                <w:sz w:val="18"/>
                <w:szCs w:val="18"/>
              </w:rPr>
              <w:t xml:space="preserve">Present and structural: confidence gate enforces human review; operators confirm or correct all routed documents</w:t>
            </w:r>
          </w:p>
        </w:tc>
      </w:tr>
      <w:tr>
        <w:tc>
          <w:p>
            <w:r>
              <w:rPr>
                <w:rFonts w:ascii="Arial" w:cs="Arial" w:eastAsia="Arial" w:hAnsi="Arial"/>
                <w:b w:val="false"/>
                <w:bCs w:val="false"/>
                <w:sz w:val="18"/>
                <w:szCs w:val="18"/>
              </w:rPr>
              <w:t xml:space="preserve">Risk classification</w:t>
            </w:r>
          </w:p>
        </w:tc>
        <w:tc>
          <w:p>
            <w:r>
              <w:rPr>
                <w:rFonts w:ascii="Arial" w:cs="Arial" w:eastAsia="Arial" w:hAnsi="Arial"/>
                <w:b w:val="false"/>
                <w:bCs w:val="false"/>
                <w:sz w:val="18"/>
                <w:szCs w:val="18"/>
              </w:rPr>
              <w:t xml:space="preserve">Limited risk (Article 50) -- AI system making recommendations. Classification must be reviewed for each deployment context.</w:t>
            </w:r>
          </w:p>
        </w:tc>
      </w:tr>
      <w:tr>
        <w:tc>
          <w:p>
            <w:r>
              <w:rPr>
                <w:rFonts w:ascii="Arial" w:cs="Arial" w:eastAsia="Arial" w:hAnsi="Arial"/>
                <w:b w:val="false"/>
                <w:bCs w:val="false"/>
                <w:sz w:val="18"/>
                <w:szCs w:val="18"/>
              </w:rPr>
              <w:t xml:space="preserve">Transparency obligations</w:t>
            </w:r>
          </w:p>
        </w:tc>
        <w:tc>
          <w:p>
            <w:r>
              <w:rPr>
                <w:rFonts w:ascii="Arial" w:cs="Arial" w:eastAsia="Arial" w:hAnsi="Arial"/>
                <w:b w:val="false"/>
                <w:bCs w:val="false"/>
                <w:sz w:val="18"/>
                <w:szCs w:val="18"/>
              </w:rPr>
              <w:t xml:space="preserve">Article 50: operators must be informed they are interacting with an AI system. Disclosure required at first use.</w:t>
            </w:r>
          </w:p>
        </w:tc>
      </w:tr>
    </w:tbl>
    <w:p/>
    <w:p>
      <w:r>
        <w:rPr>
          <w:rFonts w:ascii="Arial" w:cs="Arial" w:eastAsia="Arial" w:hAnsi="Arial"/>
          <w:i/>
          <w:iCs/>
          <w:color w:val="6B7280"/>
          <w:sz w:val="18"/>
          <w:szCs w:val="18"/>
        </w:rPr>
        <w:t xml:space="preserve">This assessment must be reviewed annually and whenever the system is materially changed. Deployers must assess classification in their own regulatory context -- this assessment is a starting point, not legal advice.</w:t>
      </w:r>
    </w:p>
    <w:p/>
    <w:p>
      <w:pPr>
        <w:pStyle w:val="Heading2"/>
      </w:pPr>
      <w:r>
        <w:t xml:space="preserve">1.2 Transparency Obligations (Article 50)</w:t>
      </w:r>
    </w:p>
    <w:p>
      <w:pPr>
        <w:pStyle w:val="ListParagraph"/>
        <w:numPr>
          <w:ilvl w:val="0"/>
          <w:numId w:val="2"/>
        </w:numPr>
        <w:spacing w:after="60"/>
      </w:pPr>
      <w:r>
        <w:t xml:space="preserve">Disclosure trigger: first use after go-live, and after any material system update</w:t>
      </w:r>
    </w:p>
    <w:p>
      <w:pPr>
        <w:pStyle w:val="ListParagraph"/>
        <w:numPr>
          <w:ilvl w:val="0"/>
          <w:numId w:val="2"/>
        </w:numPr>
        <w:spacing w:after="60"/>
      </w:pPr>
      <w:r>
        <w:t xml:space="preserve">Disclosure channel: on-boarding modal -- cannot be dismissed without acknowledgement</w:t>
      </w:r>
    </w:p>
    <w:p>
      <w:pPr>
        <w:pStyle w:val="ListParagraph"/>
        <w:numPr>
          <w:ilvl w:val="0"/>
          <w:numId w:val="2"/>
        </w:numPr>
        <w:spacing w:after="60"/>
      </w:pPr>
      <w:r>
        <w:t xml:space="preserve">Disclosure text agreed with client legal team before go-live</w:t>
      </w:r>
    </w:p>
    <w:p>
      <w:pPr>
        <w:pStyle w:val="ListParagraph"/>
        <w:numPr>
          <w:ilvl w:val="0"/>
          <w:numId w:val="2"/>
        </w:numPr>
        <w:spacing w:after="60"/>
      </w:pPr>
      <w:r>
        <w:t xml:space="preserve">Disclosure must be plain English -- no technical jargon</w:t>
      </w:r>
    </w:p>
    <w:p>
      <w:pPr>
        <w:pStyle w:val="ListParagraph"/>
        <w:numPr>
          <w:ilvl w:val="0"/>
          <w:numId w:val="2"/>
        </w:numPr>
        <w:spacing w:after="60"/>
      </w:pPr>
      <w:r>
        <w:t xml:space="preserve">Acknowledgement stored in audit log: user_id, disclosed_at, disclosure_version</w:t>
      </w:r>
    </w:p>
    <w:p>
      <w:pPr>
        <w:pStyle w:val="ListParagraph"/>
        <w:numPr>
          <w:ilvl w:val="0"/>
          <w:numId w:val="2"/>
        </w:numPr>
        <w:spacing w:after="60"/>
      </w:pPr>
      <w:r>
        <w:t xml:space="preserve">Disclosure version incremented on material system changes</w:t>
      </w:r>
    </w:p>
    <w:p/>
    <w:p>
      <w:pPr>
        <w:pStyle w:val="Heading2"/>
      </w:pPr>
      <w:r>
        <w:t xml:space="preserve">1.3 Deployer Obligations (Article 26)</w:t>
      </w:r>
    </w:p>
    <w:p>
      <w:pPr>
        <w:pStyle w:val="ListParagraph"/>
        <w:numPr>
          <w:ilvl w:val="0"/>
          <w:numId w:val="2"/>
        </w:numPr>
        <w:spacing w:after="60"/>
      </w:pPr>
      <w:r>
        <w:t xml:space="preserve">Maintain a register of AI systems in use -- this platform must be included</w:t>
      </w:r>
    </w:p>
    <w:p>
      <w:pPr>
        <w:pStyle w:val="ListParagraph"/>
        <w:numPr>
          <w:ilvl w:val="0"/>
          <w:numId w:val="2"/>
        </w:numPr>
        <w:spacing w:after="60"/>
      </w:pPr>
      <w:r>
        <w:t xml:space="preserve">Ensure human oversight is in place -- the confidence gate and review queue satisfy this</w:t>
      </w:r>
    </w:p>
    <w:p>
      <w:pPr>
        <w:pStyle w:val="ListParagraph"/>
        <w:numPr>
          <w:ilvl w:val="0"/>
          <w:numId w:val="2"/>
        </w:numPr>
        <w:spacing w:after="60"/>
      </w:pPr>
      <w:r>
        <w:t xml:space="preserve">Monitor the system for risks and report incidents to Aria</w:t>
      </w:r>
    </w:p>
    <w:p>
      <w:pPr>
        <w:pStyle w:val="ListParagraph"/>
        <w:numPr>
          <w:ilvl w:val="0"/>
          <w:numId w:val="2"/>
        </w:numPr>
        <w:spacing w:after="60"/>
      </w:pPr>
      <w:r>
        <w:t xml:space="preserve">Provide operators with sufficient AI literacy training</w:t>
      </w:r>
    </w:p>
    <w:p/>
    <w:p>
      <w:pPr>
        <w:pStyle w:val="Heading1"/>
      </w:pPr>
      <w:r>
        <w:t xml:space="preserve">2. Model Cards</w:t>
      </w:r>
    </w:p>
    <w:p>
      <w:r>
        <w:rPr>
          <w:rFonts w:ascii="Arial" w:cs="Arial" w:eastAsia="Arial" w:hAnsi="Arial"/>
          <w:sz w:val="20"/>
          <w:szCs w:val="20"/>
        </w:rPr>
        <w:t xml:space="preserve">A model card documents the behaviour, capabilities, limitations, and appropriate use of each AI model used in the system. Provided to clients in the go-live report and updated annually.</w:t>
      </w:r>
    </w:p>
    <w:p/>
    <w:p>
      <w:pPr>
        <w:pStyle w:val="Heading2"/>
      </w:pPr>
      <w:r>
        <w:t xml:space="preserve">2.1 Model Card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color="E2E8F0" w:val="clear"/>
          </w:tcPr>
          <w:p>
            <w:r>
              <w:rPr>
                <w:rFonts w:ascii="Arial" w:cs="Arial" w:eastAsia="Arial" w:hAnsi="Arial"/>
                <w:b/>
                <w:bCs/>
                <w:sz w:val="18"/>
                <w:szCs w:val="18"/>
              </w:rPr>
              <w:t xml:space="preserve">Attribute</w:t>
            </w:r>
          </w:p>
        </w:tc>
        <w:tc>
          <w:tcPr>
            <w:tcW w:type="dxa" w:w="6360"/>
            <w:shd w:color="E2E8F0" w:val="clear"/>
          </w:tcPr>
          <w:p>
            <w:r>
              <w:rPr>
                <w:rFonts w:ascii="Arial" w:cs="Arial" w:eastAsia="Arial" w:hAnsi="Arial"/>
                <w:b/>
                <w:bCs/>
                <w:sz w:val="18"/>
                <w:szCs w:val="18"/>
              </w:rPr>
              <w:t xml:space="preserve">Detail</w:t>
            </w:r>
          </w:p>
        </w:tc>
      </w:tr>
      <w:tr>
        <w:tc>
          <w:p>
            <w:r>
              <w:rPr>
                <w:rFonts w:ascii="Arial" w:cs="Arial" w:eastAsia="Arial" w:hAnsi="Arial"/>
                <w:b w:val="false"/>
                <w:bCs w:val="false"/>
                <w:sz w:val="18"/>
                <w:szCs w:val="18"/>
              </w:rPr>
              <w:t xml:space="preserve">Provider</w:t>
            </w:r>
          </w:p>
        </w:tc>
        <w:tc>
          <w:p>
            <w:r>
              <w:rPr>
                <w:rFonts w:ascii="Arial" w:cs="Arial" w:eastAsia="Arial" w:hAnsi="Arial"/>
                <w:b w:val="false"/>
                <w:bCs w:val="false"/>
                <w:sz w:val="18"/>
                <w:szCs w:val="18"/>
              </w:rPr>
              <w:t xml:space="preserve">Document for each model used</w:t>
            </w:r>
          </w:p>
        </w:tc>
      </w:tr>
      <w:tr>
        <w:tc>
          <w:p>
            <w:r>
              <w:rPr>
                <w:rFonts w:ascii="Arial" w:cs="Arial" w:eastAsia="Arial" w:hAnsi="Arial"/>
                <w:b w:val="false"/>
                <w:bCs w:val="false"/>
                <w:sz w:val="18"/>
                <w:szCs w:val="18"/>
              </w:rPr>
              <w:t xml:space="preserve">Model version</w:t>
            </w:r>
          </w:p>
        </w:tc>
        <w:tc>
          <w:p>
            <w:r>
              <w:rPr>
                <w:rFonts w:ascii="Arial" w:cs="Arial" w:eastAsia="Arial" w:hAnsi="Arial"/>
                <w:b w:val="false"/>
                <w:bCs w:val="false"/>
                <w:sz w:val="18"/>
                <w:szCs w:val="18"/>
              </w:rPr>
              <w:t xml:space="preserve">Pinned version -- not "latest"</w:t>
            </w:r>
          </w:p>
        </w:tc>
      </w:tr>
      <w:tr>
        <w:tc>
          <w:p>
            <w:r>
              <w:rPr>
                <w:rFonts w:ascii="Arial" w:cs="Arial" w:eastAsia="Arial" w:hAnsi="Arial"/>
                <w:b w:val="false"/>
                <w:bCs w:val="false"/>
                <w:sz w:val="18"/>
                <w:szCs w:val="18"/>
              </w:rPr>
              <w:t xml:space="preserve">Purpose in system</w:t>
            </w:r>
          </w:p>
        </w:tc>
        <w:tc>
          <w:p>
            <w:r>
              <w:rPr>
                <w:rFonts w:ascii="Arial" w:cs="Arial" w:eastAsia="Arial" w:hAnsi="Arial"/>
                <w:b w:val="false"/>
                <w:bCs w:val="false"/>
                <w:sz w:val="18"/>
                <w:szCs w:val="18"/>
              </w:rPr>
              <w:t xml:space="preserve">Specific task this model performs</w:t>
            </w:r>
          </w:p>
        </w:tc>
      </w:tr>
      <w:tr>
        <w:tc>
          <w:p>
            <w:r>
              <w:rPr>
                <w:rFonts w:ascii="Arial" w:cs="Arial" w:eastAsia="Arial" w:hAnsi="Arial"/>
                <w:b w:val="false"/>
                <w:bCs w:val="false"/>
                <w:sz w:val="18"/>
                <w:szCs w:val="18"/>
              </w:rPr>
              <w:t xml:space="preserve">Data sent</w:t>
            </w:r>
          </w:p>
        </w:tc>
        <w:tc>
          <w:p>
            <w:r>
              <w:rPr>
                <w:rFonts w:ascii="Arial" w:cs="Arial" w:eastAsia="Arial" w:hAnsi="Arial"/>
                <w:b w:val="false"/>
                <w:bCs w:val="false"/>
                <w:sz w:val="18"/>
                <w:szCs w:val="18"/>
              </w:rPr>
              <w:t xml:space="preserve">Exactly what data is sent to this model -- no more</w:t>
            </w:r>
          </w:p>
        </w:tc>
      </w:tr>
      <w:tr>
        <w:tc>
          <w:p>
            <w:r>
              <w:rPr>
                <w:rFonts w:ascii="Arial" w:cs="Arial" w:eastAsia="Arial" w:hAnsi="Arial"/>
                <w:b w:val="false"/>
                <w:bCs w:val="false"/>
                <w:sz w:val="18"/>
                <w:szCs w:val="18"/>
              </w:rPr>
              <w:t xml:space="preserve">Data retention by provider</w:t>
            </w:r>
          </w:p>
        </w:tc>
        <w:tc>
          <w:p>
            <w:r>
              <w:rPr>
                <w:rFonts w:ascii="Arial" w:cs="Arial" w:eastAsia="Arial" w:hAnsi="Arial"/>
                <w:b w:val="false"/>
                <w:bCs w:val="false"/>
                <w:sz w:val="18"/>
                <w:szCs w:val="18"/>
              </w:rPr>
              <w:t xml:space="preserve">Provider data retention policy for API inputs</w:t>
            </w:r>
          </w:p>
        </w:tc>
      </w:tr>
      <w:tr>
        <w:tc>
          <w:p>
            <w:r>
              <w:rPr>
                <w:rFonts w:ascii="Arial" w:cs="Arial" w:eastAsia="Arial" w:hAnsi="Arial"/>
                <w:b w:val="false"/>
                <w:bCs w:val="false"/>
                <w:sz w:val="18"/>
                <w:szCs w:val="18"/>
              </w:rPr>
              <w:t xml:space="preserve">Limitations</w:t>
            </w:r>
          </w:p>
        </w:tc>
        <w:tc>
          <w:p>
            <w:r>
              <w:rPr>
                <w:rFonts w:ascii="Arial" w:cs="Arial" w:eastAsia="Arial" w:hAnsi="Arial"/>
                <w:b w:val="false"/>
                <w:bCs w:val="false"/>
                <w:sz w:val="18"/>
                <w:szCs w:val="18"/>
              </w:rPr>
              <w:t xml:space="preserve">Known failure modes and edge cases</w:t>
            </w:r>
          </w:p>
        </w:tc>
      </w:tr>
      <w:tr>
        <w:tc>
          <w:p>
            <w:r>
              <w:rPr>
                <w:rFonts w:ascii="Arial" w:cs="Arial" w:eastAsia="Arial" w:hAnsi="Arial"/>
                <w:b w:val="false"/>
                <w:bCs w:val="false"/>
                <w:sz w:val="18"/>
                <w:szCs w:val="18"/>
              </w:rPr>
              <w:t xml:space="preserve">Hallucination mitigation</w:t>
            </w:r>
          </w:p>
        </w:tc>
        <w:tc>
          <w:p>
            <w:r>
              <w:rPr>
                <w:rFonts w:ascii="Arial" w:cs="Arial" w:eastAsia="Arial" w:hAnsi="Arial"/>
                <w:b w:val="false"/>
                <w:bCs w:val="false"/>
                <w:sz w:val="18"/>
                <w:szCs w:val="18"/>
              </w:rPr>
              <w:t xml:space="preserve">Controls in place: citations, faithfulness check, structured outputs</w:t>
            </w:r>
          </w:p>
        </w:tc>
      </w:tr>
      <w:tr>
        <w:tc>
          <w:p>
            <w:r>
              <w:rPr>
                <w:rFonts w:ascii="Arial" w:cs="Arial" w:eastAsia="Arial" w:hAnsi="Arial"/>
                <w:b w:val="false"/>
                <w:bCs w:val="false"/>
                <w:sz w:val="18"/>
                <w:szCs w:val="18"/>
              </w:rPr>
              <w:t xml:space="preserve">Cost optimisation</w:t>
            </w:r>
          </w:p>
        </w:tc>
        <w:tc>
          <w:p>
            <w:r>
              <w:rPr>
                <w:rFonts w:ascii="Arial" w:cs="Arial" w:eastAsia="Arial" w:hAnsi="Arial"/>
                <w:b w:val="false"/>
                <w:bCs w:val="false"/>
                <w:sz w:val="18"/>
                <w:szCs w:val="18"/>
              </w:rPr>
              <w:t xml:space="preserve">Prompt caching, model routing, batch API where applicable</w:t>
            </w:r>
          </w:p>
        </w:tc>
      </w:tr>
    </w:tbl>
    <w:p/>
    <w:p>
      <w:r>
        <w:rPr>
          <w:rFonts w:ascii="Arial" w:cs="Arial" w:eastAsia="Arial" w:hAnsi="Arial"/>
          <w:i/>
          <w:iCs/>
          <w:color w:val="6B7280"/>
          <w:sz w:val="18"/>
          <w:szCs w:val="18"/>
        </w:rPr>
        <w:t xml:space="preserve">Model cards must be completed for every model in the deployment: embedding model, generation model (all tiers used), multimodal model (if applicable).</w:t>
      </w:r>
    </w:p>
    <w:p/>
    <w:p>
      <w:pPr>
        <w:pStyle w:val="Heading1"/>
      </w:pPr>
      <w:r>
        <w:t xml:space="preserve">3. Explainability Reports</w:t>
      </w:r>
    </w:p>
    <w:p/>
    <w:p>
      <w:pPr>
        <w:pStyle w:val="Heading2"/>
      </w:pPr>
      <w:r>
        <w:t xml:space="preserve">3.1 Per-Document Explainability</w:t>
      </w:r>
    </w:p>
    <w:p>
      <w:pPr>
        <w:pStyle w:val="ListParagraph"/>
        <w:numPr>
          <w:ilvl w:val="0"/>
          <w:numId w:val="2"/>
        </w:numPr>
        <w:spacing w:after="60"/>
      </w:pPr>
      <w:r>
        <w:t xml:space="preserve">Predicted category and confidence score</w:t>
      </w:r>
    </w:p>
    <w:p>
      <w:pPr>
        <w:pStyle w:val="ListParagraph"/>
        <w:numPr>
          <w:ilvl w:val="0"/>
          <w:numId w:val="2"/>
        </w:numPr>
        <w:spacing w:after="60"/>
      </w:pPr>
      <w:r>
        <w:t xml:space="preserve">Routing decision and routing reason</w:t>
      </w:r>
    </w:p>
    <w:p>
      <w:pPr>
        <w:pStyle w:val="ListParagraph"/>
        <w:numPr>
          <w:ilvl w:val="0"/>
          <w:numId w:val="2"/>
        </w:numPr>
        <w:spacing w:after="60"/>
      </w:pPr>
      <w:r>
        <w:t xml:space="preserve">Evidence lines retrieved: description, category, similarity score, citation ID</w:t>
      </w:r>
    </w:p>
    <w:p>
      <w:pPr>
        <w:pStyle w:val="ListParagraph"/>
        <w:numPr>
          <w:ilvl w:val="0"/>
          <w:numId w:val="2"/>
        </w:numPr>
        <w:spacing w:after="60"/>
      </w:pPr>
      <w:r>
        <w:t xml:space="preserve">Whether GraphRAG evidence was used</w:t>
      </w:r>
    </w:p>
    <w:p>
      <w:pPr>
        <w:pStyle w:val="ListParagraph"/>
        <w:numPr>
          <w:ilvl w:val="0"/>
          <w:numId w:val="2"/>
        </w:numPr>
        <w:spacing w:after="60"/>
      </w:pPr>
      <w:r>
        <w:t xml:space="preserve">LLM model used and whether prompt cache was hit</w:t>
      </w:r>
    </w:p>
    <w:p>
      <w:pPr>
        <w:pStyle w:val="ListParagraph"/>
        <w:numPr>
          <w:ilvl w:val="0"/>
          <w:numId w:val="2"/>
        </w:numPr>
        <w:spacing w:after="60"/>
      </w:pPr>
      <w:r>
        <w:t xml:space="preserve">Plain-English explanation with inline citations (for human review documents)</w:t>
      </w:r>
    </w:p>
    <w:p>
      <w:pPr>
        <w:pStyle w:val="ListParagraph"/>
        <w:numPr>
          <w:ilvl w:val="0"/>
          <w:numId w:val="2"/>
        </w:numPr>
        <w:spacing w:after="60"/>
      </w:pPr>
      <w:r>
        <w:t xml:space="preserve">Confirming operator and confirmation timestamp</w:t>
      </w:r>
    </w:p>
    <w:p>
      <w:pPr>
        <w:pStyle w:val="ListParagraph"/>
        <w:numPr>
          <w:ilvl w:val="0"/>
          <w:numId w:val="2"/>
        </w:numPr>
        <w:spacing w:after="60"/>
      </w:pPr>
      <w:r>
        <w:t xml:space="preserve">Observability trace ID -- enables reconstruction of the full decision</w:t>
      </w:r>
    </w:p>
    <w:p/>
    <w:p>
      <w:pPr>
        <w:pStyle w:val="Heading2"/>
      </w:pPr>
      <w:r>
        <w:t xml:space="preserve">3.2 Periodic Explainability Report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color="E2E8F0" w:val="clear"/>
          </w:tcPr>
          <w:p>
            <w:r>
              <w:rPr>
                <w:rFonts w:ascii="Arial" w:cs="Arial" w:eastAsia="Arial" w:hAnsi="Arial"/>
                <w:b/>
                <w:bCs/>
                <w:sz w:val="18"/>
                <w:szCs w:val="18"/>
              </w:rPr>
              <w:t xml:space="preserve">Section</w:t>
            </w:r>
          </w:p>
        </w:tc>
        <w:tc>
          <w:tcPr>
            <w:tcW w:type="dxa" w:w="6360"/>
            <w:shd w:color="E2E8F0" w:val="clear"/>
          </w:tcPr>
          <w:p>
            <w:r>
              <w:rPr>
                <w:rFonts w:ascii="Arial" w:cs="Arial" w:eastAsia="Arial" w:hAnsi="Arial"/>
                <w:b/>
                <w:bCs/>
                <w:sz w:val="18"/>
                <w:szCs w:val="18"/>
              </w:rPr>
              <w:t xml:space="preserve">Content</w:t>
            </w:r>
          </w:p>
        </w:tc>
      </w:tr>
      <w:tr>
        <w:tc>
          <w:p>
            <w:r>
              <w:rPr>
                <w:rFonts w:ascii="Arial" w:cs="Arial" w:eastAsia="Arial" w:hAnsi="Arial"/>
                <w:b w:val="false"/>
                <w:bCs w:val="false"/>
                <w:sz w:val="18"/>
                <w:szCs w:val="18"/>
              </w:rPr>
              <w:t xml:space="preserve">Summary statistics</w:t>
            </w:r>
          </w:p>
        </w:tc>
        <w:tc>
          <w:p>
            <w:r>
              <w:rPr>
                <w:rFonts w:ascii="Arial" w:cs="Arial" w:eastAsia="Arial" w:hAnsi="Arial"/>
                <w:b w:val="false"/>
                <w:bCs w:val="false"/>
                <w:sz w:val="18"/>
                <w:szCs w:val="18"/>
              </w:rPr>
              <w:t xml:space="preserve">Total documents, automation rate, accuracy rate, false positive rate, human review rate</w:t>
            </w:r>
          </w:p>
        </w:tc>
      </w:tr>
      <w:tr>
        <w:tc>
          <w:p>
            <w:r>
              <w:rPr>
                <w:rFonts w:ascii="Arial" w:cs="Arial" w:eastAsia="Arial" w:hAnsi="Arial"/>
                <w:b w:val="false"/>
                <w:bCs w:val="false"/>
                <w:sz w:val="18"/>
                <w:szCs w:val="18"/>
              </w:rPr>
              <w:t xml:space="preserve">Decision distribution</w:t>
            </w:r>
          </w:p>
        </w:tc>
        <w:tc>
          <w:p>
            <w:r>
              <w:rPr>
                <w:rFonts w:ascii="Arial" w:cs="Arial" w:eastAsia="Arial" w:hAnsi="Arial"/>
                <w:b w:val="false"/>
                <w:bCs w:val="false"/>
                <w:sz w:val="18"/>
                <w:szCs w:val="18"/>
              </w:rPr>
              <w:t xml:space="preserve">Auto-confirms vs human review by entity category, category code, value band</w:t>
            </w:r>
          </w:p>
        </w:tc>
      </w:tr>
      <w:tr>
        <w:tc>
          <w:p>
            <w:r>
              <w:rPr>
                <w:rFonts w:ascii="Arial" w:cs="Arial" w:eastAsia="Arial" w:hAnsi="Arial"/>
                <w:b w:val="false"/>
                <w:bCs w:val="false"/>
                <w:sz w:val="18"/>
                <w:szCs w:val="18"/>
              </w:rPr>
              <w:t xml:space="preserve">Routing reasons</w:t>
            </w:r>
          </w:p>
        </w:tc>
        <w:tc>
          <w:p>
            <w:r>
              <w:rPr>
                <w:rFonts w:ascii="Arial" w:cs="Arial" w:eastAsia="Arial" w:hAnsi="Arial"/>
                <w:b w:val="false"/>
                <w:bCs w:val="false"/>
                <w:sz w:val="18"/>
                <w:szCs w:val="18"/>
              </w:rPr>
              <w:t xml:space="preserve">Breakdown of why documents were routed: cold start, low confidence, high value, low evidence</w:t>
            </w:r>
          </w:p>
        </w:tc>
      </w:tr>
      <w:tr>
        <w:tc>
          <w:p>
            <w:r>
              <w:rPr>
                <w:rFonts w:ascii="Arial" w:cs="Arial" w:eastAsia="Arial" w:hAnsi="Arial"/>
                <w:b w:val="false"/>
                <w:bCs w:val="false"/>
                <w:sz w:val="18"/>
                <w:szCs w:val="18"/>
              </w:rPr>
              <w:t xml:space="preserve">Human override analysis</w:t>
            </w:r>
          </w:p>
        </w:tc>
        <w:tc>
          <w:p>
            <w:r>
              <w:rPr>
                <w:rFonts w:ascii="Arial" w:cs="Arial" w:eastAsia="Arial" w:hAnsi="Arial"/>
                <w:b w:val="false"/>
                <w:bCs w:val="false"/>
                <w:sz w:val="18"/>
                <w:szCs w:val="18"/>
              </w:rPr>
              <w:t xml:space="preserve">Rate at which operators corrected predictions; top corrected categories</w:t>
            </w:r>
          </w:p>
        </w:tc>
      </w:tr>
      <w:tr>
        <w:tc>
          <w:p>
            <w:r>
              <w:rPr>
                <w:rFonts w:ascii="Arial" w:cs="Arial" w:eastAsia="Arial" w:hAnsi="Arial"/>
                <w:b w:val="false"/>
                <w:bCs w:val="false"/>
                <w:sz w:val="18"/>
                <w:szCs w:val="18"/>
              </w:rPr>
              <w:t xml:space="preserve">Corpus health</w:t>
            </w:r>
          </w:p>
        </w:tc>
        <w:tc>
          <w:p>
            <w:r>
              <w:rPr>
                <w:rFonts w:ascii="Arial" w:cs="Arial" w:eastAsia="Arial" w:hAnsi="Arial"/>
                <w:b w:val="false"/>
                <w:bCs w:val="false"/>
                <w:sz w:val="18"/>
                <w:szCs w:val="18"/>
              </w:rPr>
              <w:t xml:space="preserve">Size, age distribution, entity density, outlier flags</w:t>
            </w:r>
          </w:p>
        </w:tc>
      </w:tr>
      <w:tr>
        <w:tc>
          <w:p>
            <w:r>
              <w:rPr>
                <w:rFonts w:ascii="Arial" w:cs="Arial" w:eastAsia="Arial" w:hAnsi="Arial"/>
                <w:b w:val="false"/>
                <w:bCs w:val="false"/>
                <w:sz w:val="18"/>
                <w:szCs w:val="18"/>
              </w:rPr>
              <w:t xml:space="preserve">Model performance</w:t>
            </w:r>
          </w:p>
        </w:tc>
        <w:tc>
          <w:p>
            <w:r>
              <w:rPr>
                <w:rFonts w:ascii="Arial" w:cs="Arial" w:eastAsia="Arial" w:hAnsi="Arial"/>
                <w:b w:val="false"/>
                <w:bCs w:val="false"/>
                <w:sz w:val="18"/>
                <w:szCs w:val="18"/>
              </w:rPr>
              <w:t xml:space="preserve">RAGAS scores, LLM-as-judge scores, calibration curve</w:t>
            </w:r>
          </w:p>
        </w:tc>
      </w:tr>
      <w:tr>
        <w:tc>
          <w:p>
            <w:r>
              <w:rPr>
                <w:rFonts w:ascii="Arial" w:cs="Arial" w:eastAsia="Arial" w:hAnsi="Arial"/>
                <w:b w:val="false"/>
                <w:bCs w:val="false"/>
                <w:sz w:val="18"/>
                <w:szCs w:val="18"/>
              </w:rPr>
              <w:t xml:space="preserve">Cost attribution</w:t>
            </w:r>
          </w:p>
        </w:tc>
        <w:tc>
          <w:p>
            <w:r>
              <w:rPr>
                <w:rFonts w:ascii="Arial" w:cs="Arial" w:eastAsia="Arial" w:hAnsi="Arial"/>
                <w:b w:val="false"/>
                <w:bCs w:val="false"/>
                <w:sz w:val="18"/>
                <w:szCs w:val="18"/>
              </w:rPr>
              <w:t xml:space="preserve">LLM API cost per document, cache hit rate, cost by model</w:t>
            </w:r>
          </w:p>
        </w:tc>
      </w:tr>
      <w:tr>
        <w:tc>
          <w:p>
            <w:r>
              <w:rPr>
                <w:rFonts w:ascii="Arial" w:cs="Arial" w:eastAsia="Arial" w:hAnsi="Arial"/>
                <w:b w:val="false"/>
                <w:bCs w:val="false"/>
                <w:sz w:val="18"/>
                <w:szCs w:val="18"/>
              </w:rPr>
              <w:t xml:space="preserve">Erasure activity</w:t>
            </w:r>
          </w:p>
        </w:tc>
        <w:tc>
          <w:p>
            <w:r>
              <w:rPr>
                <w:rFonts w:ascii="Arial" w:cs="Arial" w:eastAsia="Arial" w:hAnsi="Arial"/>
                <w:b w:val="false"/>
                <w:bCs w:val="false"/>
                <w:sz w:val="18"/>
                <w:szCs w:val="18"/>
              </w:rPr>
              <w:t xml:space="preserve">Any GDPR erasure requests completed in the period</w:t>
            </w:r>
          </w:p>
        </w:tc>
      </w:tr>
    </w:tbl>
    <w:p/>
    <w:p>
      <w:pPr>
        <w:pStyle w:val="Heading1"/>
      </w:pPr>
      <w:r>
        <w:t xml:space="preserve">4. GDPR Compliance</w:t>
      </w:r>
    </w:p>
    <w:p/>
    <w:p>
      <w:pPr>
        <w:pStyle w:val="Heading2"/>
      </w:pPr>
      <w:r>
        <w:t xml:space="preserve">4.1 Personal Data Assessment</w:t>
      </w:r>
    </w:p>
    <w:p>
      <w:pPr>
        <w:pStyle w:val="ListParagraph"/>
        <w:numPr>
          <w:ilvl w:val="0"/>
          <w:numId w:val="2"/>
        </w:numPr>
        <w:spacing w:after="60"/>
      </w:pPr>
      <w:r>
        <w:t xml:space="preserve">Document descriptions: may contain personal data -- preprocessed before embedding</w:t>
      </w:r>
    </w:p>
    <w:p>
      <w:pPr>
        <w:pStyle w:val="ListParagraph"/>
        <w:numPr>
          <w:ilvl w:val="0"/>
          <w:numId w:val="2"/>
        </w:numPr>
        <w:spacing w:after="60"/>
      </w:pPr>
      <w:r>
        <w:t xml:space="preserve">Entity names (sole traders): personal data -- subject to right to erasure</w:t>
      </w:r>
    </w:p>
    <w:p>
      <w:pPr>
        <w:pStyle w:val="ListParagraph"/>
        <w:numPr>
          <w:ilvl w:val="0"/>
          <w:numId w:val="2"/>
        </w:numPr>
        <w:spacing w:after="60"/>
      </w:pPr>
      <w:r>
        <w:t xml:space="preserve">Operator user IDs: personal data -- stored in audit log, pseudonymised in exports</w:t>
      </w:r>
    </w:p>
    <w:p>
      <w:pPr>
        <w:pStyle w:val="ListParagraph"/>
        <w:numPr>
          <w:ilvl w:val="0"/>
          <w:numId w:val="2"/>
        </w:numPr>
        <w:spacing w:after="60"/>
      </w:pPr>
      <w:r>
        <w:t xml:space="preserve">Document amounts: financial data, not personal data</w:t>
      </w:r>
    </w:p>
    <w:p/>
    <w:p>
      <w:pPr>
        <w:pStyle w:val="Heading2"/>
      </w:pPr>
      <w:r>
        <w:t xml:space="preserve">4.2 Data Processing Agreement</w:t>
      </w:r>
    </w:p>
    <w:p>
      <w:pPr>
        <w:pStyle w:val="ListParagraph"/>
        <w:numPr>
          <w:ilvl w:val="0"/>
          <w:numId w:val="2"/>
        </w:numPr>
        <w:spacing w:after="60"/>
      </w:pPr>
      <w:r>
        <w:t xml:space="preserve">DPA required before go-live -- template provided by Aria legal</w:t>
      </w:r>
    </w:p>
    <w:p>
      <w:pPr>
        <w:pStyle w:val="ListParagraph"/>
        <w:numPr>
          <w:ilvl w:val="0"/>
          <w:numId w:val="2"/>
        </w:numPr>
        <w:spacing w:after="60"/>
      </w:pPr>
      <w:r>
        <w:t xml:space="preserve">Covers: purposes, data categories, retention periods, sub-processors</w:t>
      </w:r>
    </w:p>
    <w:p>
      <w:pPr>
        <w:pStyle w:val="ListParagraph"/>
        <w:numPr>
          <w:ilvl w:val="0"/>
          <w:numId w:val="2"/>
        </w:numPr>
        <w:spacing w:after="60"/>
      </w:pPr>
      <w:r>
        <w:t xml:space="preserve">Sub-processor DPAs: maintained with all LLM providers, vector store, graph store, infrastructure</w:t>
      </w:r>
    </w:p>
    <w:p>
      <w:pPr>
        <w:pStyle w:val="ListParagraph"/>
        <w:numPr>
          <w:ilvl w:val="0"/>
          <w:numId w:val="2"/>
        </w:numPr>
        <w:spacing w:after="60"/>
      </w:pPr>
      <w:r>
        <w:t xml:space="preserve">Data transfer: all processing in EU by default</w:t>
      </w:r>
    </w:p>
    <w:p/>
    <w:p>
      <w:pPr>
        <w:pStyle w:val="Heading1"/>
      </w:pPr>
      <w:r>
        <w:t xml:space="preserve">5. Provider Usage Policy Compliance</w:t>
      </w:r>
    </w:p>
    <w:p/>
    <w:p>
      <w:pPr>
        <w:pStyle w:val="Heading2"/>
      </w:pPr>
      <w:r>
        <w:t xml:space="preserve">5.1 Permitted Uses (Confirmed)</w:t>
      </w:r>
    </w:p>
    <w:p>
      <w:pPr>
        <w:pStyle w:val="ListParagraph"/>
        <w:numPr>
          <w:ilvl w:val="0"/>
          <w:numId w:val="2"/>
        </w:numPr>
        <w:spacing w:after="60"/>
      </w:pPr>
      <w:r>
        <w:t xml:space="preserve">Document categorisation -- automated classification is a permitted commercial use</w:t>
      </w:r>
    </w:p>
    <w:p>
      <w:pPr>
        <w:pStyle w:val="ListParagraph"/>
        <w:numPr>
          <w:ilvl w:val="0"/>
          <w:numId w:val="2"/>
        </w:numPr>
        <w:spacing w:after="60"/>
      </w:pPr>
      <w:r>
        <w:t xml:space="preserve">Explanation generation -- summarisation is permitted</w:t>
      </w:r>
    </w:p>
    <w:p>
      <w:pPr>
        <w:pStyle w:val="ListParagraph"/>
        <w:numPr>
          <w:ilvl w:val="0"/>
          <w:numId w:val="2"/>
        </w:numPr>
        <w:spacing w:after="60"/>
      </w:pPr>
      <w:r>
        <w:t xml:space="preserve">Rule parsing -- structured extraction is permitted</w:t>
      </w:r>
    </w:p>
    <w:p>
      <w:pPr>
        <w:pStyle w:val="ListParagraph"/>
        <w:numPr>
          <w:ilvl w:val="0"/>
          <w:numId w:val="2"/>
        </w:numPr>
        <w:spacing w:after="60"/>
      </w:pPr>
      <w:r>
        <w:t xml:space="preserve">Report generation -- document generation is permitted</w:t>
      </w:r>
    </w:p>
    <w:p>
      <w:pPr>
        <w:pStyle w:val="ListParagraph"/>
        <w:numPr>
          <w:ilvl w:val="0"/>
          <w:numId w:val="2"/>
        </w:numPr>
        <w:spacing w:after="60"/>
      </w:pPr>
      <w:r>
        <w:t xml:space="preserve">Conversational agent -- question answering is permitted</w:t>
      </w:r>
    </w:p>
    <w:p/>
    <w:p>
      <w:pPr>
        <w:pStyle w:val="Heading2"/>
      </w:pPr>
      <w:r>
        <w:t xml:space="preserve">5.2 Compliance Controls</w:t>
      </w:r>
    </w:p>
    <w:p>
      <w:pPr>
        <w:pStyle w:val="ListParagraph"/>
        <w:numPr>
          <w:ilvl w:val="0"/>
          <w:numId w:val="2"/>
        </w:numPr>
        <w:spacing w:after="60"/>
      </w:pPr>
      <w:r>
        <w:t xml:space="preserve">Input sanitisation: document descriptions stripped of injection patterns before LLM path</w:t>
      </w:r>
    </w:p>
    <w:p>
      <w:pPr>
        <w:pStyle w:val="ListParagraph"/>
        <w:numPr>
          <w:ilvl w:val="0"/>
          <w:numId w:val="2"/>
        </w:numPr>
        <w:spacing w:after="60"/>
      </w:pPr>
      <w:r>
        <w:t xml:space="preserve">Input validation: all LLM inputs validated against schema</w:t>
      </w:r>
    </w:p>
    <w:p>
      <w:pPr>
        <w:pStyle w:val="ListParagraph"/>
        <w:numPr>
          <w:ilvl w:val="0"/>
          <w:numId w:val="2"/>
        </w:numPr>
        <w:spacing w:after="60"/>
      </w:pPr>
      <w:r>
        <w:t xml:space="preserve">Output validation: structured outputs schema enforced</w:t>
      </w:r>
    </w:p>
    <w:p>
      <w:pPr>
        <w:pStyle w:val="ListParagraph"/>
        <w:numPr>
          <w:ilvl w:val="0"/>
          <w:numId w:val="2"/>
        </w:numPr>
        <w:spacing w:after="60"/>
      </w:pPr>
      <w:r>
        <w:t xml:space="preserve">Usage monitoring: all LLM calls tagged with purpose -- anomaly detection on patterns</w:t>
      </w:r>
    </w:p>
    <w:p/>
    <w:p>
      <w:pPr>
        <w:pStyle w:val="Heading1"/>
      </w:pPr>
      <w:r>
        <w:t xml:space="preserve">6. AI Incident Response Plan</w:t>
      </w:r>
    </w:p>
    <w:p/>
    <w:p>
      <w:pPr>
        <w:pStyle w:val="Heading2"/>
      </w:pPr>
      <w:r>
        <w:t xml:space="preserve">6.1 Incident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800"/>
        <w:gridCol w:w="2360"/>
      </w:tblGrid>
      <w:tr>
        <w:trPr>
          <w:tblHeader/>
        </w:trPr>
        <w:tc>
          <w:tcPr>
            <w:tcW w:type="dxa" w:w="1200"/>
            <w:shd w:color="E2E8F0" w:val="clear"/>
          </w:tcPr>
          <w:p>
            <w:r>
              <w:rPr>
                <w:rFonts w:ascii="Arial" w:cs="Arial" w:eastAsia="Arial" w:hAnsi="Arial"/>
                <w:b/>
                <w:bCs/>
                <w:sz w:val="18"/>
                <w:szCs w:val="18"/>
              </w:rPr>
              <w:t xml:space="preserve">Severity</w:t>
            </w:r>
          </w:p>
        </w:tc>
        <w:tc>
          <w:tcPr>
            <w:tcW w:type="dxa" w:w="4000"/>
            <w:shd w:color="E2E8F0" w:val="clear"/>
          </w:tcPr>
          <w:p>
            <w:r>
              <w:rPr>
                <w:rFonts w:ascii="Arial" w:cs="Arial" w:eastAsia="Arial" w:hAnsi="Arial"/>
                <w:b/>
                <w:bCs/>
                <w:sz w:val="18"/>
                <w:szCs w:val="18"/>
              </w:rPr>
              <w:t xml:space="preserve">Definition</w:t>
            </w:r>
          </w:p>
        </w:tc>
        <w:tc>
          <w:tcPr>
            <w:tcW w:type="dxa" w:w="1800"/>
            <w:shd w:color="E2E8F0" w:val="clear"/>
          </w:tcPr>
          <w:p>
            <w:r>
              <w:rPr>
                <w:rFonts w:ascii="Arial" w:cs="Arial" w:eastAsia="Arial" w:hAnsi="Arial"/>
                <w:b/>
                <w:bCs/>
                <w:sz w:val="18"/>
                <w:szCs w:val="18"/>
              </w:rPr>
              <w:t xml:space="preserve">Response time</w:t>
            </w:r>
          </w:p>
        </w:tc>
        <w:tc>
          <w:tcPr>
            <w:tcW w:type="dxa" w:w="2360"/>
            <w:shd w:color="E2E8F0" w:val="clear"/>
          </w:tcPr>
          <w:p>
            <w:r>
              <w:rPr>
                <w:rFonts w:ascii="Arial" w:cs="Arial" w:eastAsia="Arial" w:hAnsi="Arial"/>
                <w:b/>
                <w:bCs/>
                <w:sz w:val="18"/>
                <w:szCs w:val="18"/>
              </w:rPr>
              <w:t xml:space="preserve">Escalation</w:t>
            </w:r>
          </w:p>
        </w:tc>
      </w:tr>
      <w:tr>
        <w:tc>
          <w:p>
            <w:r>
              <w:rPr>
                <w:rFonts w:ascii="Arial" w:cs="Arial" w:eastAsia="Arial" w:hAnsi="Arial"/>
                <w:b w:val="false"/>
                <w:bCs w:val="false"/>
                <w:sz w:val="18"/>
                <w:szCs w:val="18"/>
              </w:rPr>
              <w:t xml:space="preserve">P1 -- Critical</w:t>
            </w:r>
          </w:p>
        </w:tc>
        <w:tc>
          <w:p>
            <w:r>
              <w:rPr>
                <w:rFonts w:ascii="Arial" w:cs="Arial" w:eastAsia="Arial" w:hAnsi="Arial"/>
                <w:b w:val="false"/>
                <w:bCs w:val="false"/>
                <w:sz w:val="18"/>
                <w:szCs w:val="18"/>
              </w:rPr>
              <w:t xml:space="preserve">False positive confirmed: auto-confirmed document with incorrect category. Corpus corruption. Hallucinations at scale.</w:t>
            </w:r>
          </w:p>
        </w:tc>
        <w:tc>
          <w:p>
            <w:r>
              <w:rPr>
                <w:rFonts w:ascii="Arial" w:cs="Arial" w:eastAsia="Arial" w:hAnsi="Arial"/>
                <w:b w:val="false"/>
                <w:bCs w:val="false"/>
                <w:sz w:val="18"/>
                <w:szCs w:val="18"/>
              </w:rPr>
              <w:t xml:space="preserve">Immediate (&lt;1h)</w:t>
            </w:r>
          </w:p>
        </w:tc>
        <w:tc>
          <w:p>
            <w:r>
              <w:rPr>
                <w:rFonts w:ascii="Arial" w:cs="Arial" w:eastAsia="Arial" w:hAnsi="Arial"/>
                <w:b w:val="false"/>
                <w:bCs w:val="false"/>
                <w:sz w:val="18"/>
                <w:szCs w:val="18"/>
              </w:rPr>
              <w:t xml:space="preserve">CEO, client lead, legal</w:t>
            </w:r>
          </w:p>
        </w:tc>
      </w:tr>
      <w:tr>
        <w:tc>
          <w:p>
            <w:r>
              <w:rPr>
                <w:rFonts w:ascii="Arial" w:cs="Arial" w:eastAsia="Arial" w:hAnsi="Arial"/>
                <w:b w:val="false"/>
                <w:bCs w:val="false"/>
                <w:sz w:val="18"/>
                <w:szCs w:val="18"/>
              </w:rPr>
              <w:t xml:space="preserve">P2 -- High</w:t>
            </w:r>
          </w:p>
        </w:tc>
        <w:tc>
          <w:p>
            <w:r>
              <w:rPr>
                <w:rFonts w:ascii="Arial" w:cs="Arial" w:eastAsia="Arial" w:hAnsi="Arial"/>
                <w:b w:val="false"/>
                <w:bCs w:val="false"/>
                <w:sz w:val="18"/>
                <w:szCs w:val="18"/>
              </w:rPr>
              <w:t xml:space="preserve">False positive rate &gt;1% over 24h. RAGAS drop &gt;10pp. Systematic routing failures.</w:t>
            </w:r>
          </w:p>
        </w:tc>
        <w:tc>
          <w:p>
            <w:r>
              <w:rPr>
                <w:rFonts w:ascii="Arial" w:cs="Arial" w:eastAsia="Arial" w:hAnsi="Arial"/>
                <w:b w:val="false"/>
                <w:bCs w:val="false"/>
                <w:sz w:val="18"/>
                <w:szCs w:val="18"/>
              </w:rPr>
              <w:t xml:space="preserve">&lt;4 hours</w:t>
            </w:r>
          </w:p>
        </w:tc>
        <w:tc>
          <w:p>
            <w:r>
              <w:rPr>
                <w:rFonts w:ascii="Arial" w:cs="Arial" w:eastAsia="Arial" w:hAnsi="Arial"/>
                <w:b w:val="false"/>
                <w:bCs w:val="false"/>
                <w:sz w:val="18"/>
                <w:szCs w:val="18"/>
              </w:rPr>
              <w:t xml:space="preserve">CTO, client manager</w:t>
            </w:r>
          </w:p>
        </w:tc>
      </w:tr>
      <w:tr>
        <w:tc>
          <w:p>
            <w:r>
              <w:rPr>
                <w:rFonts w:ascii="Arial" w:cs="Arial" w:eastAsia="Arial" w:hAnsi="Arial"/>
                <w:b w:val="false"/>
                <w:bCs w:val="false"/>
                <w:sz w:val="18"/>
                <w:szCs w:val="18"/>
              </w:rPr>
              <w:t xml:space="preserve">P3 -- Medium</w:t>
            </w:r>
          </w:p>
        </w:tc>
        <w:tc>
          <w:p>
            <w:r>
              <w:rPr>
                <w:rFonts w:ascii="Arial" w:cs="Arial" w:eastAsia="Arial" w:hAnsi="Arial"/>
                <w:b w:val="false"/>
                <w:bCs w:val="false"/>
                <w:sz w:val="18"/>
                <w:szCs w:val="18"/>
              </w:rPr>
              <w:t xml:space="preserve">Accuracy &lt;97% over 7 days. Individual miscategorised document discovered.</w:t>
            </w:r>
          </w:p>
        </w:tc>
        <w:tc>
          <w:p>
            <w:r>
              <w:rPr>
                <w:rFonts w:ascii="Arial" w:cs="Arial" w:eastAsia="Arial" w:hAnsi="Arial"/>
                <w:b w:val="false"/>
                <w:bCs w:val="false"/>
                <w:sz w:val="18"/>
                <w:szCs w:val="18"/>
              </w:rPr>
              <w:t xml:space="preserve">Next business day</w:t>
            </w:r>
          </w:p>
        </w:tc>
        <w:tc>
          <w:p>
            <w:r>
              <w:rPr>
                <w:rFonts w:ascii="Arial" w:cs="Arial" w:eastAsia="Arial" w:hAnsi="Arial"/>
                <w:b w:val="false"/>
                <w:bCs w:val="false"/>
                <w:sz w:val="18"/>
                <w:szCs w:val="18"/>
              </w:rPr>
              <w:t xml:space="preserve">Tech lead, client manager</w:t>
            </w:r>
          </w:p>
        </w:tc>
      </w:tr>
      <w:tr>
        <w:tc>
          <w:p>
            <w:r>
              <w:rPr>
                <w:rFonts w:ascii="Arial" w:cs="Arial" w:eastAsia="Arial" w:hAnsi="Arial"/>
                <w:b w:val="false"/>
                <w:bCs w:val="false"/>
                <w:sz w:val="18"/>
                <w:szCs w:val="18"/>
              </w:rPr>
              <w:t xml:space="preserve">P4 -- Low</w:t>
            </w:r>
          </w:p>
        </w:tc>
        <w:tc>
          <w:p>
            <w:r>
              <w:rPr>
                <w:rFonts w:ascii="Arial" w:cs="Arial" w:eastAsia="Arial" w:hAnsi="Arial"/>
                <w:b w:val="false"/>
                <w:bCs w:val="false"/>
                <w:sz w:val="18"/>
                <w:szCs w:val="18"/>
              </w:rPr>
              <w:t xml:space="preserve">RAGAS drop &lt;5pp. Individual corpus outlier. Performance within SLA.</w:t>
            </w:r>
          </w:p>
        </w:tc>
        <w:tc>
          <w:p>
            <w:r>
              <w:rPr>
                <w:rFonts w:ascii="Arial" w:cs="Arial" w:eastAsia="Arial" w:hAnsi="Arial"/>
                <w:b w:val="false"/>
                <w:bCs w:val="false"/>
                <w:sz w:val="18"/>
                <w:szCs w:val="18"/>
              </w:rPr>
              <w:t xml:space="preserve">Within 5 days</w:t>
            </w:r>
          </w:p>
        </w:tc>
        <w:tc>
          <w:p>
            <w:r>
              <w:rPr>
                <w:rFonts w:ascii="Arial" w:cs="Arial" w:eastAsia="Arial" w:hAnsi="Arial"/>
                <w:b w:val="false"/>
                <w:bCs w:val="false"/>
                <w:sz w:val="18"/>
                <w:szCs w:val="18"/>
              </w:rPr>
              <w:t xml:space="preserve">Tech lead</w:t>
            </w:r>
          </w:p>
        </w:tc>
      </w:tr>
    </w:tbl>
    <w:p/>
    <w:p>
      <w:pPr>
        <w:pStyle w:val="Heading2"/>
      </w:pPr>
      <w:r>
        <w:t xml:space="preserve">6.2 P1 Response Procedure</w:t>
      </w:r>
    </w:p>
    <w:p>
      <w:pPr>
        <w:pStyle w:val="ListParagraph"/>
        <w:numPr>
          <w:ilvl w:val="0"/>
          <w:numId w:val="2"/>
        </w:numPr>
        <w:spacing w:after="60"/>
      </w:pPr>
      <w:r>
        <w:t xml:space="preserve">0-15 min: on-call engineer acknowledges alert, assesses scope via observability traces</w:t>
      </w:r>
    </w:p>
    <w:p>
      <w:pPr>
        <w:pStyle w:val="ListParagraph"/>
        <w:numPr>
          <w:ilvl w:val="0"/>
          <w:numId w:val="2"/>
        </w:numPr>
        <w:spacing w:after="60"/>
      </w:pPr>
      <w:r>
        <w:t xml:space="preserve">15-30 min: if false positive confirmed -- disable auto-confirm for affected tenant immediately</w:t>
      </w:r>
    </w:p>
    <w:p>
      <w:pPr>
        <w:pStyle w:val="ListParagraph"/>
        <w:numPr>
          <w:ilvl w:val="0"/>
          <w:numId w:val="2"/>
        </w:numPr>
        <w:spacing w:after="60"/>
      </w:pPr>
      <w:r>
        <w:t xml:space="preserve">30-60 min: notify client manager via phone and email -- do not wait for root cause</w:t>
      </w:r>
    </w:p>
    <w:p>
      <w:pPr>
        <w:pStyle w:val="ListParagraph"/>
        <w:numPr>
          <w:ilvl w:val="0"/>
          <w:numId w:val="2"/>
        </w:numPr>
        <w:spacing w:after="60"/>
      </w:pPr>
      <w:r>
        <w:t xml:space="preserve">1-4 hours: root cause analysis -- identify which corpus points or model outputs caused the error</w:t>
      </w:r>
    </w:p>
    <w:p>
      <w:pPr>
        <w:pStyle w:val="ListParagraph"/>
        <w:numPr>
          <w:ilvl w:val="0"/>
          <w:numId w:val="2"/>
        </w:numPr>
        <w:spacing w:after="60"/>
      </w:pPr>
      <w:r>
        <w:t xml:space="preserve">4-24 hours: remediate -- remove affected corpus points, patch if code issue, re-enable only after verification</w:t>
      </w:r>
    </w:p>
    <w:p>
      <w:pPr>
        <w:pStyle w:val="ListParagraph"/>
        <w:numPr>
          <w:ilvl w:val="0"/>
          <w:numId w:val="2"/>
        </w:numPr>
        <w:spacing w:after="60"/>
      </w:pPr>
      <w:r>
        <w:t xml:space="preserve">24-48 hours: post-incident report delivered to client</w:t>
      </w:r>
    </w:p>
    <w:p>
      <w:pPr>
        <w:pStyle w:val="ListParagraph"/>
        <w:numPr>
          <w:ilvl w:val="0"/>
          <w:numId w:val="2"/>
        </w:numPr>
        <w:spacing w:after="60"/>
      </w:pPr>
      <w:r>
        <w:t xml:space="preserve">Within 72 hours: if GDPR breach -- notify supervisory authority</w:t>
      </w:r>
    </w:p>
    <w:p/>
    <w:p>
      <w:pPr>
        <w:pStyle w:val="Heading2"/>
      </w:pPr>
      <w:r>
        <w:t xml:space="preserve">6.3 Corpus Corruption Response</w:t>
      </w:r>
    </w:p>
    <w:p>
      <w:pPr>
        <w:pStyle w:val="ListParagraph"/>
        <w:numPr>
          <w:ilvl w:val="0"/>
          <w:numId w:val="2"/>
        </w:numPr>
        <w:spacing w:after="60"/>
      </w:pPr>
      <w:r>
        <w:t xml:space="preserve">Suspend auto-confirm for affected entity -- route all future documents to human review</w:t>
      </w:r>
    </w:p>
    <w:p>
      <w:pPr>
        <w:pStyle w:val="ListParagraph"/>
        <w:numPr>
          <w:ilvl w:val="0"/>
          <w:numId w:val="2"/>
        </w:numPr>
        <w:spacing w:after="60"/>
      </w:pPr>
      <w:r>
        <w:t xml:space="preserve">Retrieve all corpus points for entity and review category distribution</w:t>
      </w:r>
    </w:p>
    <w:p>
      <w:pPr>
        <w:pStyle w:val="ListParagraph"/>
        <w:numPr>
          <w:ilvl w:val="0"/>
          <w:numId w:val="2"/>
        </w:numPr>
        <w:spacing w:after="60"/>
      </w:pPr>
      <w:r>
        <w:t xml:space="preserve">Delete affected corpus points</w:t>
      </w:r>
    </w:p>
    <w:p>
      <w:pPr>
        <w:pStyle w:val="ListParagraph"/>
        <w:numPr>
          <w:ilvl w:val="0"/>
          <w:numId w:val="2"/>
        </w:numPr>
        <w:spacing w:after="60"/>
      </w:pPr>
      <w:r>
        <w:t xml:space="preserve">Re-seed from verified historical data if available</w:t>
      </w:r>
    </w:p>
    <w:p>
      <w:pPr>
        <w:pStyle w:val="ListParagraph"/>
        <w:numPr>
          <w:ilvl w:val="0"/>
          <w:numId w:val="2"/>
        </w:numPr>
        <w:spacing w:after="60"/>
      </w:pPr>
      <w:r>
        <w:t xml:space="preserve">Re-enable auto-confirm only after corpus verified by client manager</w:t>
      </w:r>
    </w:p>
    <w:p/>
    <w:p>
      <w:pPr>
        <w:pStyle w:val="Heading1"/>
      </w:pPr>
      <w:r>
        <w:t xml:space="preserve">7. Ongoing Compliance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000"/>
        <w:gridCol w:w="2060"/>
      </w:tblGrid>
      <w:tr>
        <w:trPr>
          <w:tblHeader/>
        </w:trPr>
        <w:tc>
          <w:tcPr>
            <w:tcW w:type="dxa" w:w="3500"/>
            <w:shd w:color="E2E8F0" w:val="clear"/>
          </w:tcPr>
          <w:p>
            <w:r>
              <w:rPr>
                <w:rFonts w:ascii="Arial" w:cs="Arial" w:eastAsia="Arial" w:hAnsi="Arial"/>
                <w:b/>
                <w:bCs/>
                <w:sz w:val="18"/>
                <w:szCs w:val="18"/>
              </w:rPr>
              <w:t xml:space="preserve">Activity</w:t>
            </w:r>
          </w:p>
        </w:tc>
        <w:tc>
          <w:tcPr>
            <w:tcW w:type="dxa" w:w="1800"/>
            <w:shd w:color="E2E8F0" w:val="clear"/>
          </w:tcPr>
          <w:p>
            <w:r>
              <w:rPr>
                <w:rFonts w:ascii="Arial" w:cs="Arial" w:eastAsia="Arial" w:hAnsi="Arial"/>
                <w:b/>
                <w:bCs/>
                <w:sz w:val="18"/>
                <w:szCs w:val="18"/>
              </w:rPr>
              <w:t xml:space="preserve">Frequency</w:t>
            </w:r>
          </w:p>
        </w:tc>
        <w:tc>
          <w:tcPr>
            <w:tcW w:type="dxa" w:w="2000"/>
            <w:shd w:color="E2E8F0" w:val="clear"/>
          </w:tcPr>
          <w:p>
            <w:r>
              <w:rPr>
                <w:rFonts w:ascii="Arial" w:cs="Arial" w:eastAsia="Arial" w:hAnsi="Arial"/>
                <w:b/>
                <w:bCs/>
                <w:sz w:val="18"/>
                <w:szCs w:val="18"/>
              </w:rPr>
              <w:t xml:space="preserve">Owner</w:t>
            </w:r>
          </w:p>
        </w:tc>
        <w:tc>
          <w:tcPr>
            <w:tcW w:type="dxa" w:w="2060"/>
            <w:shd w:color="E2E8F0" w:val="clear"/>
          </w:tcPr>
          <w:p>
            <w:r>
              <w:rPr>
                <w:rFonts w:ascii="Arial" w:cs="Arial" w:eastAsia="Arial" w:hAnsi="Arial"/>
                <w:b/>
                <w:bCs/>
                <w:sz w:val="18"/>
                <w:szCs w:val="18"/>
              </w:rPr>
              <w:t xml:space="preserve">Output</w:t>
            </w:r>
          </w:p>
        </w:tc>
      </w:tr>
      <w:tr>
        <w:tc>
          <w:p>
            <w:r>
              <w:rPr>
                <w:rFonts w:ascii="Arial" w:cs="Arial" w:eastAsia="Arial" w:hAnsi="Arial"/>
                <w:b w:val="false"/>
                <w:bCs w:val="false"/>
                <w:sz w:val="18"/>
                <w:szCs w:val="18"/>
              </w:rPr>
              <w:t xml:space="preserve">AI Act risk assessment review</w:t>
            </w:r>
          </w:p>
        </w:tc>
        <w:tc>
          <w:p>
            <w:r>
              <w:rPr>
                <w:rFonts w:ascii="Arial" w:cs="Arial" w:eastAsia="Arial" w:hAnsi="Arial"/>
                <w:b w:val="false"/>
                <w:bCs w:val="false"/>
                <w:sz w:val="18"/>
                <w:szCs w:val="18"/>
              </w:rPr>
              <w:t xml:space="preserve">Annual</w:t>
            </w:r>
          </w:p>
        </w:tc>
        <w:tc>
          <w:p>
            <w:r>
              <w:rPr>
                <w:rFonts w:ascii="Arial" w:cs="Arial" w:eastAsia="Arial" w:hAnsi="Arial"/>
                <w:b w:val="false"/>
                <w:bCs w:val="false"/>
                <w:sz w:val="18"/>
                <w:szCs w:val="18"/>
              </w:rPr>
              <w:t xml:space="preserve">Aria legal + CTO</w:t>
            </w:r>
          </w:p>
        </w:tc>
        <w:tc>
          <w:p>
            <w:r>
              <w:rPr>
                <w:rFonts w:ascii="Arial" w:cs="Arial" w:eastAsia="Arial" w:hAnsi="Arial"/>
                <w:b w:val="false"/>
                <w:bCs w:val="false"/>
                <w:sz w:val="18"/>
                <w:szCs w:val="18"/>
              </w:rPr>
              <w:t xml:space="preserve">Updated assessment</w:t>
            </w:r>
          </w:p>
        </w:tc>
      </w:tr>
      <w:tr>
        <w:tc>
          <w:p>
            <w:r>
              <w:rPr>
                <w:rFonts w:ascii="Arial" w:cs="Arial" w:eastAsia="Arial" w:hAnsi="Arial"/>
                <w:b w:val="false"/>
                <w:bCs w:val="false"/>
                <w:sz w:val="18"/>
                <w:szCs w:val="18"/>
              </w:rPr>
              <w:t xml:space="preserve">Model card review</w:t>
            </w:r>
          </w:p>
        </w:tc>
        <w:tc>
          <w:p>
            <w:r>
              <w:rPr>
                <w:rFonts w:ascii="Arial" w:cs="Arial" w:eastAsia="Arial" w:hAnsi="Arial"/>
                <w:b w:val="false"/>
                <w:bCs w:val="false"/>
                <w:sz w:val="18"/>
                <w:szCs w:val="18"/>
              </w:rPr>
              <w:t xml:space="preserve">Annual + on model change</w:t>
            </w:r>
          </w:p>
        </w:tc>
        <w:tc>
          <w:p>
            <w:r>
              <w:rPr>
                <w:rFonts w:ascii="Arial" w:cs="Arial" w:eastAsia="Arial" w:hAnsi="Arial"/>
                <w:b w:val="false"/>
                <w:bCs w:val="false"/>
                <w:sz w:val="18"/>
                <w:szCs w:val="18"/>
              </w:rPr>
              <w:t xml:space="preserve">Tech lead</w:t>
            </w:r>
          </w:p>
        </w:tc>
        <w:tc>
          <w:p>
            <w:r>
              <w:rPr>
                <w:rFonts w:ascii="Arial" w:cs="Arial" w:eastAsia="Arial" w:hAnsi="Arial"/>
                <w:b w:val="false"/>
                <w:bCs w:val="false"/>
                <w:sz w:val="18"/>
                <w:szCs w:val="18"/>
              </w:rPr>
              <w:t xml:space="preserve">Updated model cards</w:t>
            </w:r>
          </w:p>
        </w:tc>
      </w:tr>
      <w:tr>
        <w:tc>
          <w:p>
            <w:r>
              <w:rPr>
                <w:rFonts w:ascii="Arial" w:cs="Arial" w:eastAsia="Arial" w:hAnsi="Arial"/>
                <w:b w:val="false"/>
                <w:bCs w:val="false"/>
                <w:sz w:val="18"/>
                <w:szCs w:val="18"/>
              </w:rPr>
              <w:t xml:space="preserve">Explainability report</w:t>
            </w:r>
          </w:p>
        </w:tc>
        <w:tc>
          <w:p>
            <w:r>
              <w:rPr>
                <w:rFonts w:ascii="Arial" w:cs="Arial" w:eastAsia="Arial" w:hAnsi="Arial"/>
                <w:b w:val="false"/>
                <w:bCs w:val="false"/>
                <w:sz w:val="18"/>
                <w:szCs w:val="18"/>
              </w:rPr>
              <w:t xml:space="preserve">Monthly</w:t>
            </w:r>
          </w:p>
        </w:tc>
        <w:tc>
          <w:p>
            <w:r>
              <w:rPr>
                <w:rFonts w:ascii="Arial" w:cs="Arial" w:eastAsia="Arial" w:hAnsi="Arial"/>
                <w:b w:val="false"/>
                <w:bCs w:val="false"/>
                <w:sz w:val="18"/>
                <w:szCs w:val="18"/>
              </w:rPr>
              <w:t xml:space="preserve">Automated</w:t>
            </w:r>
          </w:p>
        </w:tc>
        <w:tc>
          <w:p>
            <w:r>
              <w:rPr>
                <w:rFonts w:ascii="Arial" w:cs="Arial" w:eastAsia="Arial" w:hAnsi="Arial"/>
                <w:b w:val="false"/>
                <w:bCs w:val="false"/>
                <w:sz w:val="18"/>
                <w:szCs w:val="18"/>
              </w:rPr>
              <w:t xml:space="preserve">Report delivered to client</w:t>
            </w:r>
          </w:p>
        </w:tc>
      </w:tr>
      <w:tr>
        <w:tc>
          <w:p>
            <w:r>
              <w:rPr>
                <w:rFonts w:ascii="Arial" w:cs="Arial" w:eastAsia="Arial" w:hAnsi="Arial"/>
                <w:b w:val="false"/>
                <w:bCs w:val="false"/>
                <w:sz w:val="18"/>
                <w:szCs w:val="18"/>
              </w:rPr>
              <w:t xml:space="preserve">GDPR erasure SLA audit</w:t>
            </w:r>
          </w:p>
        </w:tc>
        <w:tc>
          <w:p>
            <w:r>
              <w:rPr>
                <w:rFonts w:ascii="Arial" w:cs="Arial" w:eastAsia="Arial" w:hAnsi="Arial"/>
                <w:b w:val="false"/>
                <w:bCs w:val="false"/>
                <w:sz w:val="18"/>
                <w:szCs w:val="18"/>
              </w:rPr>
              <w:t xml:space="preserve">Quarterly</w:t>
            </w:r>
          </w:p>
        </w:tc>
        <w:tc>
          <w:p>
            <w:r>
              <w:rPr>
                <w:rFonts w:ascii="Arial" w:cs="Arial" w:eastAsia="Arial" w:hAnsi="Arial"/>
                <w:b w:val="false"/>
                <w:bCs w:val="false"/>
                <w:sz w:val="18"/>
                <w:szCs w:val="18"/>
              </w:rPr>
              <w:t xml:space="preserve">Tech lead</w:t>
            </w:r>
          </w:p>
        </w:tc>
        <w:tc>
          <w:p>
            <w:r>
              <w:rPr>
                <w:rFonts w:ascii="Arial" w:cs="Arial" w:eastAsia="Arial" w:hAnsi="Arial"/>
                <w:b w:val="false"/>
                <w:bCs w:val="false"/>
                <w:sz w:val="18"/>
                <w:szCs w:val="18"/>
              </w:rPr>
              <w:t xml:space="preserve">Completion time vs 30-day SLA</w:t>
            </w:r>
          </w:p>
        </w:tc>
      </w:tr>
      <w:tr>
        <w:tc>
          <w:p>
            <w:r>
              <w:rPr>
                <w:rFonts w:ascii="Arial" w:cs="Arial" w:eastAsia="Arial" w:hAnsi="Arial"/>
                <w:b w:val="false"/>
                <w:bCs w:val="false"/>
                <w:sz w:val="18"/>
                <w:szCs w:val="18"/>
              </w:rPr>
              <w:t xml:space="preserve">Red team / adversarial testing</w:t>
            </w:r>
          </w:p>
        </w:tc>
        <w:tc>
          <w:p>
            <w:r>
              <w:rPr>
                <w:rFonts w:ascii="Arial" w:cs="Arial" w:eastAsia="Arial" w:hAnsi="Arial"/>
                <w:b w:val="false"/>
                <w:bCs w:val="false"/>
                <w:sz w:val="18"/>
                <w:szCs w:val="18"/>
              </w:rPr>
              <w:t xml:space="preserve">Quarterly</w:t>
            </w:r>
          </w:p>
        </w:tc>
        <w:tc>
          <w:p>
            <w:r>
              <w:rPr>
                <w:rFonts w:ascii="Arial" w:cs="Arial" w:eastAsia="Arial" w:hAnsi="Arial"/>
                <w:b w:val="false"/>
                <w:bCs w:val="false"/>
                <w:sz w:val="18"/>
                <w:szCs w:val="18"/>
              </w:rPr>
              <w:t xml:space="preserve">Tech lead</w:t>
            </w:r>
          </w:p>
        </w:tc>
        <w:tc>
          <w:p>
            <w:r>
              <w:rPr>
                <w:rFonts w:ascii="Arial" w:cs="Arial" w:eastAsia="Arial" w:hAnsi="Arial"/>
                <w:b w:val="false"/>
                <w:bCs w:val="false"/>
                <w:sz w:val="18"/>
                <w:szCs w:val="18"/>
              </w:rPr>
              <w:t xml:space="preserve">Red team report</w:t>
            </w:r>
          </w:p>
        </w:tc>
      </w:tr>
      <w:tr>
        <w:tc>
          <w:p>
            <w:r>
              <w:rPr>
                <w:rFonts w:ascii="Arial" w:cs="Arial" w:eastAsia="Arial" w:hAnsi="Arial"/>
                <w:b w:val="false"/>
                <w:bCs w:val="false"/>
                <w:sz w:val="18"/>
                <w:szCs w:val="18"/>
              </w:rPr>
              <w:t xml:space="preserve">Penetration test</w:t>
            </w:r>
          </w:p>
        </w:tc>
        <w:tc>
          <w:p>
            <w:r>
              <w:rPr>
                <w:rFonts w:ascii="Arial" w:cs="Arial" w:eastAsia="Arial" w:hAnsi="Arial"/>
                <w:b w:val="false"/>
                <w:bCs w:val="false"/>
                <w:sz w:val="18"/>
                <w:szCs w:val="18"/>
              </w:rPr>
              <w:t xml:space="preserve">Annual</w:t>
            </w:r>
          </w:p>
        </w:tc>
        <w:tc>
          <w:p>
            <w:r>
              <w:rPr>
                <w:rFonts w:ascii="Arial" w:cs="Arial" w:eastAsia="Arial" w:hAnsi="Arial"/>
                <w:b w:val="false"/>
                <w:bCs w:val="false"/>
                <w:sz w:val="18"/>
                <w:szCs w:val="18"/>
              </w:rPr>
              <w:t xml:space="preserve">External CREST firm</w:t>
            </w:r>
          </w:p>
        </w:tc>
        <w:tc>
          <w:p>
            <w:r>
              <w:rPr>
                <w:rFonts w:ascii="Arial" w:cs="Arial" w:eastAsia="Arial" w:hAnsi="Arial"/>
                <w:b w:val="false"/>
                <w:bCs w:val="false"/>
                <w:sz w:val="18"/>
                <w:szCs w:val="18"/>
              </w:rPr>
              <w:t xml:space="preserve">Pentest report</w:t>
            </w:r>
          </w:p>
        </w:tc>
      </w:tr>
      <w:tr>
        <w:tc>
          <w:p>
            <w:r>
              <w:rPr>
                <w:rFonts w:ascii="Arial" w:cs="Arial" w:eastAsia="Arial" w:hAnsi="Arial"/>
                <w:b w:val="false"/>
                <w:bCs w:val="false"/>
                <w:sz w:val="18"/>
                <w:szCs w:val="18"/>
              </w:rPr>
              <w:t xml:space="preserve">Provider usage policy review</w:t>
            </w:r>
          </w:p>
        </w:tc>
        <w:tc>
          <w:p>
            <w:r>
              <w:rPr>
                <w:rFonts w:ascii="Arial" w:cs="Arial" w:eastAsia="Arial" w:hAnsi="Arial"/>
                <w:b w:val="false"/>
                <w:bCs w:val="false"/>
                <w:sz w:val="18"/>
                <w:szCs w:val="18"/>
              </w:rPr>
              <w:t xml:space="preserve">Annual</w:t>
            </w:r>
          </w:p>
        </w:tc>
        <w:tc>
          <w:p>
            <w:r>
              <w:rPr>
                <w:rFonts w:ascii="Arial" w:cs="Arial" w:eastAsia="Arial" w:hAnsi="Arial"/>
                <w:b w:val="false"/>
                <w:bCs w:val="false"/>
                <w:sz w:val="18"/>
                <w:szCs w:val="18"/>
              </w:rPr>
              <w:t xml:space="preserve">Tech lead</w:t>
            </w:r>
          </w:p>
        </w:tc>
        <w:tc>
          <w:p>
            <w:r>
              <w:rPr>
                <w:rFonts w:ascii="Arial" w:cs="Arial" w:eastAsia="Arial" w:hAnsi="Arial"/>
                <w:b w:val="false"/>
                <w:bCs w:val="false"/>
                <w:sz w:val="18"/>
                <w:szCs w:val="18"/>
              </w:rPr>
              <w:t xml:space="preserve">Compliance confirmation</w:t>
            </w:r>
          </w:p>
        </w:tc>
      </w:tr>
      <w:tr>
        <w:tc>
          <w:p>
            <w:r>
              <w:rPr>
                <w:rFonts w:ascii="Arial" w:cs="Arial" w:eastAsia="Arial" w:hAnsi="Arial"/>
                <w:b w:val="false"/>
                <w:bCs w:val="false"/>
                <w:sz w:val="18"/>
                <w:szCs w:val="18"/>
              </w:rPr>
              <w:t xml:space="preserve">Incident register review</w:t>
            </w:r>
          </w:p>
        </w:tc>
        <w:tc>
          <w:p>
            <w:r>
              <w:rPr>
                <w:rFonts w:ascii="Arial" w:cs="Arial" w:eastAsia="Arial" w:hAnsi="Arial"/>
                <w:b w:val="false"/>
                <w:bCs w:val="false"/>
                <w:sz w:val="18"/>
                <w:szCs w:val="18"/>
              </w:rPr>
              <w:t xml:space="preserve">Monthly</w:t>
            </w:r>
          </w:p>
        </w:tc>
        <w:tc>
          <w:p>
            <w:r>
              <w:rPr>
                <w:rFonts w:ascii="Arial" w:cs="Arial" w:eastAsia="Arial" w:hAnsi="Arial"/>
                <w:b w:val="false"/>
                <w:bCs w:val="false"/>
                <w:sz w:val="18"/>
                <w:szCs w:val="18"/>
              </w:rPr>
              <w:t xml:space="preserve">Tech lead + client manager</w:t>
            </w:r>
          </w:p>
        </w:tc>
        <w:tc>
          <w:p>
            <w:r>
              <w:rPr>
                <w:rFonts w:ascii="Arial" w:cs="Arial" w:eastAsia="Arial" w:hAnsi="Arial"/>
                <w:b w:val="false"/>
                <w:bCs w:val="false"/>
                <w:sz w:val="18"/>
                <w:szCs w:val="18"/>
              </w:rPr>
              <w:t xml:space="preserve">Trend analysis</w:t>
            </w:r>
          </w:p>
        </w:tc>
      </w:tr>
      <w:tr>
        <w:tc>
          <w:p>
            <w:r>
              <w:rPr>
                <w:rFonts w:ascii="Arial" w:cs="Arial" w:eastAsia="Arial" w:hAnsi="Arial"/>
                <w:b w:val="false"/>
                <w:bCs w:val="false"/>
                <w:sz w:val="18"/>
                <w:szCs w:val="18"/>
              </w:rPr>
              <w:t xml:space="preserve">Disclosure text review</w:t>
            </w:r>
          </w:p>
        </w:tc>
        <w:tc>
          <w:p>
            <w:r>
              <w:rPr>
                <w:rFonts w:ascii="Arial" w:cs="Arial" w:eastAsia="Arial" w:hAnsi="Arial"/>
                <w:b w:val="false"/>
                <w:bCs w:val="false"/>
                <w:sz w:val="18"/>
                <w:szCs w:val="18"/>
              </w:rPr>
              <w:t xml:space="preserve">On material system change</w:t>
            </w:r>
          </w:p>
        </w:tc>
        <w:tc>
          <w:p>
            <w:r>
              <w:rPr>
                <w:rFonts w:ascii="Arial" w:cs="Arial" w:eastAsia="Arial" w:hAnsi="Arial"/>
                <w:b w:val="false"/>
                <w:bCs w:val="false"/>
                <w:sz w:val="18"/>
                <w:szCs w:val="18"/>
              </w:rPr>
              <w:t xml:space="preserve">Aria + client legal</w:t>
            </w:r>
          </w:p>
        </w:tc>
        <w:tc>
          <w:p>
            <w:r>
              <w:rPr>
                <w:rFonts w:ascii="Arial" w:cs="Arial" w:eastAsia="Arial" w:hAnsi="Arial"/>
                <w:b w:val="false"/>
                <w:bCs w:val="false"/>
                <w:sz w:val="18"/>
                <w:szCs w:val="18"/>
              </w:rPr>
              <w:t xml:space="preserve">Updated disclosure</w:t>
            </w:r>
          </w:p>
        </w:tc>
      </w:tr>
    </w:tbl>
    <w:p/>
    <w:p>
      <w:r>
        <w:rPr>
          <w:rFonts w:ascii="Arial" w:cs="Arial" w:eastAsia="Arial" w:hAnsi="Arial"/>
          <w:color w:val="6B7280"/>
          <w:sz w:val="18"/>
          <w:szCs w:val="18"/>
        </w:rPr>
        <w:t xml:space="preserve">Aria AI Platform | Architecture Series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2026-10-15T21:24:13.100Z</dcterms:created>
  <dcterms:modified xsi:type="dcterms:W3CDTF">2026-10-15T21:24:13.100Z</dcterms:modified>
</cp:coreProperties>
</file>

<file path=docProps/custom.xml><?xml version="1.0" encoding="utf-8"?>
<Properties xmlns="http://schemas.openxmlformats.org/officeDocument/2006/custom-properties" xmlns:vt="http://schemas.openxmlformats.org/officeDocument/2006/docPropsVTypes"/>
</file>