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 Automation — API Reference</w:t>
      </w:r>
    </w:p>
    <w:p>
      <w:r>
        <w:rPr>
          <w:rFonts w:ascii="Arial" w:cs="Arial" w:eastAsia="Arial" w:hAnsi="Arial"/>
          <w:sz w:val="20"/>
          <w:szCs w:val="20"/>
        </w:rPr>
        <w:t xml:space="preserve">Full API specification for the AP Automation FastAPI backend — all endpoints, request/response schemas, authentication, error codes, and rate limits.</w:t>
      </w:r>
    </w:p>
    <w:p>
      <w:r>
        <w:rPr>
          <w:rFonts w:ascii="Arial" w:cs="Arial" w:eastAsia="Arial" w:hAnsi="Arial"/>
          <w:sz w:val="20"/>
          <w:szCs w:val="20"/>
        </w:rPr>
        <w:t xml:space="preserve">Base URL: https://api.ap-automation.akkoda.com/api/v1</w:t>
      </w:r>
    </w:p>
    <w:p>
      <w:r>
        <w:rPr>
          <w:rFonts w:ascii="Arial" w:cs="Arial" w:eastAsia="Arial" w:hAnsi="Arial"/>
          <w:sz w:val="20"/>
          <w:szCs w:val="20"/>
        </w:rPr>
        <w:t xml:space="preserve">October 2026  |  Form Consulting Services  |  Akkoda</w:t>
      </w:r>
    </w:p>
    <w:p/>
    <w:p>
      <w:pPr>
        <w:pStyle w:val="Heading1"/>
      </w:pPr>
      <w:r>
        <w:t xml:space="preserve">1. Authentication</w:t>
      </w:r>
    </w:p>
    <w:p/>
    <w:p>
      <w:pPr>
        <w:pStyle w:val="Heading2"/>
      </w:pPr>
      <w:r>
        <w:t xml:space="preserve">1.1 Obtaining a Token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/auth/token</w:t>
      </w:r>
    </w:p>
    <w:p/>
    <w:p>
      <w:r>
        <w:rPr>
          <w:rFonts w:ascii="Arial" w:cs="Arial" w:eastAsia="Arial" w:hAnsi="Arial"/>
          <w:sz w:val="20"/>
          <w:szCs w:val="20"/>
        </w:rPr>
        <w:t xml:space="preserve">Request body: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"email": "clerk@client.com", "password": "..." }</w:t>
      </w:r>
    </w:p>
    <w:p/>
    <w:p>
      <w:r>
        <w:rPr>
          <w:rFonts w:ascii="Arial" w:cs="Arial" w:eastAsia="Arial" w:hAnsi="Arial"/>
          <w:sz w:val="20"/>
          <w:szCs w:val="20"/>
        </w:rPr>
        <w:t xml:space="preserve">Response 200: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"access_token": "eyJ...", "token_type": "bearer", "expires_in": 900 }</w:t>
      </w:r>
    </w:p>
    <w:p/>
    <w:p>
      <w:pPr>
        <w:pStyle w:val="Heading2"/>
      </w:pPr>
      <w:r>
        <w:t xml:space="preserve">1.2 Using the Token</w:t>
      </w:r>
    </w:p>
    <w:p>
      <w:r>
        <w:rPr>
          <w:rFonts w:ascii="Arial" w:cs="Arial" w:eastAsia="Arial" w:hAnsi="Arial"/>
          <w:sz w:val="20"/>
          <w:szCs w:val="20"/>
        </w:rPr>
        <w:t xml:space="preserve">Include the access token in every request header: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Authorization: Bearer eyJ...</w:t>
      </w:r>
    </w:p>
    <w:p/>
    <w:p>
      <w:pPr>
        <w:pStyle w:val="Heading2"/>
      </w:pPr>
      <w:r>
        <w:t xml:space="preserve">1.3 Refreshing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/auth/refresh</w:t>
      </w:r>
    </w:p>
    <w:p>
      <w:r>
        <w:rPr>
          <w:rFonts w:ascii="Arial" w:cs="Arial" w:eastAsia="Arial" w:hAnsi="Arial"/>
          <w:sz w:val="20"/>
          <w:szCs w:val="20"/>
        </w:rPr>
        <w:t xml:space="preserve">Refresh token passed as httpOnly cookie — no body required.</w:t>
      </w:r>
    </w:p>
    <w:p/>
    <w:p>
      <w:pPr>
        <w:pStyle w:val="Heading2"/>
      </w:pPr>
      <w:r>
        <w:t xml:space="preserve">1.4 Rate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rPr>
          <w:tblHeader/>
        </w:trPr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2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Requests per minute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Burst</w:t>
            </w:r>
          </w:p>
        </w:tc>
        <w:tc>
          <w:tcPr>
            <w:tcW w:type="dxa" w:w="28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req/min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for all tenants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Batch endpoint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req/min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/invoices/batch only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 endpoints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 req/min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only endpoints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Rate limit headers on every response: X-RateLimit-Limit, X-RateLimit-Remaining, X-RateLimit-Reset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429 response includes Retry-After header in seconds</w:t>
      </w:r>
    </w:p>
    <w:p/>
    <w:p>
      <w:pPr>
        <w:pStyle w:val="Heading1"/>
      </w:pPr>
      <w:r>
        <w:t xml:space="preserve">2. Invoice Endpoints</w:t>
      </w:r>
    </w:p>
    <w:p/>
    <w:p>
      <w:pPr>
        <w:pStyle w:val="Heading2"/>
      </w:pPr>
      <w:r>
        <w:t xml:space="preserve">2.1 Predict a Single Invoice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/invoices/predict</w:t>
      </w:r>
    </w:p>
    <w:p/>
    <w:p>
      <w:r>
        <w:rPr>
          <w:rFonts w:ascii="Arial" w:cs="Arial" w:eastAsia="Arial" w:hAnsi="Arial"/>
          <w:sz w:val="20"/>
          <w:szCs w:val="20"/>
        </w:rPr>
        <w:t xml:space="preserve">Request body: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"raw_vendor_name": "Meridian Facilities Ltd",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"description": "Office cleaning services monthly",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"amount": 450.00,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"currency": "GBP",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"entity_id": "UK001",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"cost_centre": "CC100",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"ground_truth_gl": "6300"  // optional, for eval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/>
    <w:p>
      <w:r>
        <w:rPr>
          <w:rFonts w:ascii="Arial" w:cs="Arial" w:eastAsia="Arial" w:hAnsi="Arial"/>
          <w:sz w:val="20"/>
          <w:szCs w:val="20"/>
        </w:rPr>
        <w:t xml:space="preserve">Response 200: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"invoice_id": "4ae4...",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"predicted_gl": "6300",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"predicted_cost_centre": "CC100",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"weighted_confidence": 0.85,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"routing_decision": "auto_post",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"routing_reason": "Confidence 0.85 meets threshold 0.50",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"evidence_count": 10,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"evidence": [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"description": "Office cleaning services monthly",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"gl_account": "6300",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"similarity_score": 0.95,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"rrf_score": 0.016,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"source": "human_confirm",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"confirmed_at": "2026-09-15T10:00:00Z" }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"trace_id": "abc123" }</w:t>
      </w:r>
    </w:p>
    <w:p/>
    <w:p>
      <w:pPr>
        <w:pStyle w:val="Heading2"/>
      </w:pPr>
      <w:r>
        <w:t xml:space="preserve">2.2 Confirm a Prediction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/invoices/{invoice_id}/confirm</w:t>
      </w:r>
    </w:p>
    <w:p/>
    <w:p>
      <w:r>
        <w:rPr>
          <w:rFonts w:ascii="Arial" w:cs="Arial" w:eastAsia="Arial" w:hAnsi="Arial"/>
          <w:sz w:val="20"/>
          <w:szCs w:val="20"/>
        </w:rPr>
        <w:t xml:space="preserve">Request body: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"confirmed_gl": "6300",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"confirmed_cost_centre": "CC100" }</w:t>
      </w:r>
    </w:p>
    <w:p/>
    <w:p>
      <w:r>
        <w:rPr>
          <w:rFonts w:ascii="Arial" w:cs="Arial" w:eastAsia="Arial" w:hAnsi="Arial"/>
          <w:sz w:val="20"/>
          <w:szCs w:val="20"/>
        </w:rPr>
        <w:t xml:space="preserve">Response 200: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"invoice_id": "4ae4...",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"erp_posting_id": "post-789",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"erp_status": "queued",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"corpus_indexed": true,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"corpus_size_after": 2293 }</w:t>
      </w:r>
    </w:p>
    <w:p/>
    <w:p>
      <w:pPr>
        <w:pStyle w:val="Heading2"/>
      </w:pPr>
      <w:r>
        <w:t xml:space="preserve">2.3 Submit a Correction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/invoices/{invoice_id}/correct</w:t>
      </w:r>
    </w:p>
    <w:p/>
    <w:p>
      <w:r>
        <w:rPr>
          <w:rFonts w:ascii="Arial" w:cs="Arial" w:eastAsia="Arial" w:hAnsi="Arial"/>
          <w:sz w:val="20"/>
          <w:szCs w:val="20"/>
        </w:rPr>
        <w:t xml:space="preserve">Request body: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"corrected_gl": "6400",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"corrected_cost_centre": "CC200",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"correction_reason": "Wrong department — should be HR not Facilities" }</w:t>
      </w:r>
    </w:p>
    <w:p/>
    <w:p>
      <w:r>
        <w:rPr>
          <w:rFonts w:ascii="Arial" w:cs="Arial" w:eastAsia="Arial" w:hAnsi="Arial"/>
          <w:sz w:val="20"/>
          <w:szCs w:val="20"/>
        </w:rPr>
        <w:t xml:space="preserve">Response 200: same as confirm response.</w:t>
      </w:r>
    </w:p>
    <w:p/>
    <w:p>
      <w:pPr>
        <w:pStyle w:val="Heading2"/>
      </w:pPr>
      <w:r>
        <w:t xml:space="preserve">2.4 Run a Batch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/invoices/batch</w:t>
      </w:r>
    </w:p>
    <w:p/>
    <w:p>
      <w:r>
        <w:rPr>
          <w:rFonts w:ascii="Arial" w:cs="Arial" w:eastAsia="Arial" w:hAnsi="Arial"/>
          <w:sz w:val="20"/>
          <w:szCs w:val="20"/>
        </w:rPr>
        <w:t xml:space="preserve">Request body: multipart/form-data with CSV file upload, or JSON array: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"invoices": [ { ...same fields as predict... }, ... ],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"auto_confirm": true }</w:t>
      </w:r>
    </w:p>
    <w:p/>
    <w:p>
      <w:r>
        <w:rPr>
          <w:rFonts w:ascii="Arial" w:cs="Arial" w:eastAsia="Arial" w:hAnsi="Arial"/>
          <w:sz w:val="20"/>
          <w:szCs w:val="20"/>
        </w:rPr>
        <w:t xml:space="preserve">Response 202 (accepted — async):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"job_id": "batch-xyz",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"invoice_count": 200,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"queued",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"poll_url": "/invoices/batch/batch-xyz" }</w:t>
      </w:r>
    </w:p>
    <w:p/>
    <w:p>
      <w:pPr>
        <w:pStyle w:val="Heading2"/>
      </w:pPr>
      <w:r>
        <w:t xml:space="preserve">2.5 Poll Batch Status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/invoices/batch/{job_id}</w:t>
      </w:r>
    </w:p>
    <w:p/>
    <w:p>
      <w:r>
        <w:rPr>
          <w:rFonts w:ascii="Arial" w:cs="Arial" w:eastAsia="Arial" w:hAnsi="Arial"/>
          <w:sz w:val="20"/>
          <w:szCs w:val="20"/>
        </w:rPr>
        <w:t xml:space="preserve">Response 200: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"job_id": "batch-xyz",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"complete",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"total": 200,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"auto_posted": 198,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"human_review": 2,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"correct_predictions": 198,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"auto_post_rate": 0.99,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"accuracy_rate": 0.99,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"results": [ { ...per-invoice result... } ] }</w:t>
      </w:r>
    </w:p>
    <w:p/>
    <w:p>
      <w:pPr>
        <w:pStyle w:val="Heading1"/>
      </w:pPr>
      <w:r>
        <w:t xml:space="preserve">3. Audit Endpoints</w:t>
      </w:r>
    </w:p>
    <w:p/>
    <w:p>
      <w:pPr>
        <w:pStyle w:val="Heading2"/>
      </w:pPr>
      <w:r>
        <w:t xml:space="preserve">3.1 Get Audit Record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/audit/{invoice_id}</w:t>
      </w:r>
    </w:p>
    <w:p/>
    <w:p>
      <w:r>
        <w:rPr>
          <w:rFonts w:ascii="Arial" w:cs="Arial" w:eastAsia="Arial" w:hAnsi="Arial"/>
          <w:sz w:val="20"/>
          <w:szCs w:val="20"/>
        </w:rPr>
        <w:t xml:space="preserve">Response 200: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"invoice_id": "4ae4...",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"events": [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"event_type": "predicted",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"predicted_gl": "6300",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"confidence": 0.85,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"trace_id": "abc123",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"timestamp": "2026-10-02T10:00:00Z",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"provenance_json": { ...full evidence... } },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"event_type": "auto_posted",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"confirmed_gl": "6300",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"user": "system",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"timestamp": "2026-10-02T10:00:01Z" }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 }</w:t>
      </w:r>
    </w:p>
    <w:p/>
    <w:p>
      <w:pPr>
        <w:pStyle w:val="Heading2"/>
      </w:pPr>
      <w:r>
        <w:t xml:space="preserve">3.2 List Audit Records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/audit?vendor_id=MERIDIAN_FACILITIES&amp;gl_account=6300&amp;from=2026-01-01&amp;to=2026-12-31&amp;page_cursor=abc&amp;limit=50</w:t>
      </w:r>
    </w:p>
    <w:p/>
    <w:p>
      <w:r>
        <w:rPr>
          <w:rFonts w:ascii="Arial" w:cs="Arial" w:eastAsia="Arial" w:hAnsi="Arial"/>
          <w:sz w:val="20"/>
          <w:szCs w:val="20"/>
        </w:rPr>
        <w:t xml:space="preserve">Response 200: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"records": [ ...audit records... ],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"next_cursor": "xyz",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"total_count": 1250 }</w:t>
      </w:r>
    </w:p>
    <w:p/>
    <w:p>
      <w:pPr>
        <w:pStyle w:val="Heading1"/>
      </w:pPr>
      <w:r>
        <w:t xml:space="preserve">4. Performance Endpoints</w:t>
      </w:r>
    </w:p>
    <w:p/>
    <w:p>
      <w:pPr>
        <w:pStyle w:val="Heading2"/>
      </w:pPr>
      <w:r>
        <w:t xml:space="preserve">4.1 Performance Metrics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/performance?period=30d</w:t>
      </w:r>
    </w:p>
    <w:p/>
    <w:p>
      <w:r>
        <w:rPr>
          <w:rFonts w:ascii="Arial" w:cs="Arial" w:eastAsia="Arial" w:hAnsi="Arial"/>
          <w:sz w:val="20"/>
          <w:szCs w:val="20"/>
        </w:rPr>
        <w:t xml:space="preserve">Period options: 7d, 30d, 90d, 1y</w:t>
      </w:r>
    </w:p>
    <w:p/>
    <w:p>
      <w:r>
        <w:rPr>
          <w:rFonts w:ascii="Arial" w:cs="Arial" w:eastAsia="Arial" w:hAnsi="Arial"/>
          <w:sz w:val="20"/>
          <w:szCs w:val="20"/>
        </w:rPr>
        <w:t xml:space="preserve">Response 200: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"period": "30d",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"total_predictions": 6000,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"auto_posted": 5700,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"auto_post_rate": 0.95,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"accuracy_rate": 0.99,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"false_positive_rate": 0.0,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"avg_confidence": 0.82,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"avg_retrieval_latency_ms": 1,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"corpus_size": 4500,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"corpus_growth": 2500 }</w:t>
      </w:r>
    </w:p>
    <w:p/>
    <w:p>
      <w:pPr>
        <w:pStyle w:val="Heading2"/>
      </w:pPr>
      <w:r>
        <w:t xml:space="preserve">4.2 Corpus Statistics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/corpus/stats</w:t>
      </w:r>
    </w:p>
    <w:p/>
    <w:p>
      <w:r>
        <w:rPr>
          <w:rFonts w:ascii="Arial" w:cs="Arial" w:eastAsia="Arial" w:hAnsi="Arial"/>
          <w:sz w:val="20"/>
          <w:szCs w:val="20"/>
        </w:rPr>
        <w:t xml:space="preserve">Response 200: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"total_points": 4500,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"vendor_distribution": {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"MERIDIAN_FACILITIES": 450,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"SWIFT_TRAVEL": 380, ... },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"gl_distribution": {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"6300": 800, "6500": 650, ... },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"age_distribution": {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"last_30_days": 300,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"last_90_days": 900,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"older": 3300 } }</w:t>
      </w:r>
    </w:p>
    <w:p/>
    <w:p>
      <w:pPr>
        <w:pStyle w:val="Heading1"/>
      </w:pPr>
      <w:r>
        <w:t xml:space="preserve">5. Rules Endpoints</w:t>
      </w:r>
    </w:p>
    <w:p/>
    <w:p>
      <w:pPr>
        <w:pStyle w:val="Heading2"/>
      </w:pPr>
      <w:r>
        <w:t xml:space="preserve">5.1 Submit a Rule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/rules</w:t>
      </w:r>
    </w:p>
    <w:p/>
    <w:p>
      <w:r>
        <w:rPr>
          <w:rFonts w:ascii="Arial" w:cs="Arial" w:eastAsia="Arial" w:hAnsi="Arial"/>
          <w:sz w:val="20"/>
          <w:szCs w:val="20"/>
        </w:rPr>
        <w:t xml:space="preserve">Request body: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"rule_text": "Always code Zephyr Global Holdings invoices to GL 6400" }</w:t>
      </w:r>
    </w:p>
    <w:p/>
    <w:p>
      <w:r>
        <w:rPr>
          <w:rFonts w:ascii="Arial" w:cs="Arial" w:eastAsia="Arial" w:hAnsi="Arial"/>
          <w:sz w:val="20"/>
          <w:szCs w:val="20"/>
        </w:rPr>
        <w:t xml:space="preserve">Response 201: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"rule_id": "rule-abc",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"rule_type": "vendor_override",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"vendor_id": "ZEPHYR_GLOBAL",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"gl_account": "6400",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"is_active": true,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"submitted_at": "2026-10-02T10:00:00Z" }</w:t>
      </w:r>
    </w:p>
    <w:p/>
    <w:p>
      <w:pPr>
        <w:pStyle w:val="Heading2"/>
      </w:pPr>
      <w:r>
        <w:t xml:space="preserve">5.2 List Rules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/rules?is_active=true</w:t>
      </w:r>
    </w:p>
    <w:p/>
    <w:p>
      <w:pPr>
        <w:pStyle w:val="Heading2"/>
      </w:pPr>
      <w:r>
        <w:t xml:space="preserve">5.3 Revoke a Rule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DELETE /rules/{rule_id}</w:t>
      </w:r>
    </w:p>
    <w:p/>
    <w:p>
      <w:r>
        <w:rPr>
          <w:rFonts w:ascii="Arial" w:cs="Arial" w:eastAsia="Arial" w:hAnsi="Arial"/>
          <w:sz w:val="20"/>
          <w:szCs w:val="20"/>
        </w:rPr>
        <w:t xml:space="preserve">Response 200: { "rule_id": "rule-abc", "is_active": false }</w:t>
      </w:r>
    </w:p>
    <w:p/>
    <w:p>
      <w:pPr>
        <w:pStyle w:val="Heading1"/>
      </w:pPr>
      <w:r>
        <w:t xml:space="preserve">6. Error Response Format</w:t>
      </w:r>
    </w:p>
    <w:p/>
    <w:p>
      <w:r>
        <w:rPr>
          <w:rFonts w:ascii="Arial" w:cs="Arial" w:eastAsia="Arial" w:hAnsi="Arial"/>
          <w:sz w:val="20"/>
          <w:szCs w:val="20"/>
        </w:rPr>
        <w:t xml:space="preserve">All errors return a consistent envelope: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"error_code": "CONFIDENCE_BELOW_THRESHOLD",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"message": "Confidence 0.35 below tenant threshold 0.50",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"trace_id": "abc123",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"timestamp": "2026-10-02T10:00:00Z",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"detail": { ...additional context... } }</w:t>
      </w:r>
    </w:p>
    <w:p/>
    <w:p>
      <w:pPr>
        <w:pStyle w:val="Heading2"/>
      </w:pPr>
      <w:r>
        <w:t xml:space="preserve">6.1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HTTP</w:t>
            </w:r>
          </w:p>
        </w:tc>
        <w:tc>
          <w:tcPr>
            <w:tcW w:type="dxa" w:w="3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error_code</w:t>
            </w:r>
          </w:p>
        </w:tc>
        <w:tc>
          <w:tcPr>
            <w:tcW w:type="dxa" w:w="55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INVALID_REQUEST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 body fails validation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INVALID_GL_CODE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 code not in tenant chart of accounts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UNAUTHORIZED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Missing or invalid JWT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FORBIDDEN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 does not permit this action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INVOICE_NOT_FOUND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 ID does not exist for this tenant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ALREADY_CONFIRMED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 already confirmed — cannot re-confirm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COLD_START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has no corpus history — routed to review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RATE_LIMITED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 many requests — see Retry-After header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QDRANT_UNAVAILABLE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store unreachable — check circuit breaker status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ERP_UNAVAILABLE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ERP connector unreachable — posting queued</w:t>
            </w:r>
          </w:p>
        </w:tc>
      </w:tr>
    </w:tbl>
    <w:p/>
    <w:p>
      <w:pPr>
        <w:pStyle w:val="Heading1"/>
      </w:pPr>
      <w:r>
        <w:t xml:space="preserve">7. Webhooks</w:t>
      </w:r>
    </w:p>
    <w:p/>
    <w:p>
      <w:r>
        <w:rPr>
          <w:rFonts w:ascii="Arial" w:cs="Arial" w:eastAsia="Arial" w:hAnsi="Arial"/>
          <w:sz w:val="20"/>
          <w:szCs w:val="20"/>
        </w:rPr>
        <w:t xml:space="preserve">Register a webhook endpoint to receive real-time invoice events: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/webhooks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"url": "https://yourapp.com/ap-webhook",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"events": ["invoice.predicted", "invoice.auto_posted", "invoice.corrected"],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"secret": "your-signing-secret" }</w:t>
      </w:r>
    </w:p>
    <w:p/>
    <w:p>
      <w:r>
        <w:rPr>
          <w:rFonts w:ascii="Arial" w:cs="Arial" w:eastAsia="Arial" w:hAnsi="Arial"/>
          <w:sz w:val="20"/>
          <w:szCs w:val="20"/>
        </w:rPr>
        <w:t xml:space="preserve">Every webhook delivery is HMAC-SHA256 signed: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X-Webhook-Signature: sha256=abc123...</w:t>
      </w:r>
    </w:p>
    <w:p/>
    <w:p>
      <w:r>
        <w:rPr>
          <w:rFonts w:ascii="Arial" w:cs="Arial" w:eastAsia="Arial" w:hAnsi="Arial"/>
          <w:sz w:val="20"/>
          <w:szCs w:val="20"/>
        </w:rPr>
        <w:t xml:space="preserve">Event payload example (invoice.auto_posted):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"event": "invoice.auto_posted",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"invoice_id": "4ae4...",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"vendor": "Meridian Facilities Ltd",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"gl_account": "6300",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"amount": 450.00,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"confidence": 0.85,</w:t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"timestamp": "2026-10-02T10:00:01Z" }</w:t>
      </w:r>
    </w:p>
    <w:p/>
    <w:p>
      <w:r>
        <w:rPr>
          <w:rFonts w:ascii="Arial" w:cs="Arial" w:eastAsia="Arial" w:hAnsi="Arial"/>
          <w:color w:val="6B7280"/>
          <w:sz w:val="18"/>
          <w:szCs w:val="18"/>
        </w:rPr>
        <w:t xml:space="preserve">Contact: miles.waite@akkoda.com  |  github.com/Milesy1/ap-automation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2026-10-02T17:39:12.800Z</dcterms:created>
  <dcterms:modified xsi:type="dcterms:W3CDTF">2026-10-02T17:39:12.800Z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