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— Data Architecture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data architecture specification covering Postgres schema, Qdrant vector store, Redis caching, S3 storage, indexing strategy, partitioning, migration, backup, and data retention.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 |  Form Consulting Services  |  Akkoda</w:t>
      </w:r>
    </w:p>
    <w:p/>
    <w:p>
      <w:pPr>
        <w:pStyle w:val="Heading1"/>
      </w:pPr>
      <w:r>
        <w:t xml:space="preserve">1. Data Store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</w:t>
            </w:r>
          </w:p>
        </w:tc>
        <w:tc>
          <w:tcPr>
            <w:tcW w:type="dxa" w:w="3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DB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records, audit log, tenant config, ERP postings, rules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 16 (RDS)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tenants (RLS)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store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corpus — embeddings + metadata for RAG retrieval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Cloud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Per-tenant collection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resolution, embeddings, chart of accounts, metrics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7 (ElastiCache)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Per-tenant namespace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store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log archives, batch exports, uploaded invoice files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Per-tenant prefix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queue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 invoice processing, ERP posting, re-embedding jobs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(Celery backend)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Per-tenant queue</w:t>
            </w:r>
          </w:p>
        </w:tc>
      </w:tr>
    </w:tbl>
    <w:p/>
    <w:p>
      <w:pPr>
        <w:pStyle w:val="Heading1"/>
      </w:pPr>
      <w:r>
        <w:t xml:space="preserve">2. Postgres Schema</w:t>
      </w:r>
    </w:p>
    <w:p/>
    <w:p>
      <w:pPr>
        <w:pStyle w:val="Heading2"/>
      </w:pPr>
      <w:r>
        <w:t xml:space="preserve">2.1 Core Tables</w:t>
      </w:r>
    </w:p>
    <w:p/>
    <w:p>
      <w:pPr>
        <w:pStyle w:val="Heading3"/>
      </w:pPr>
      <w:r>
        <w:t xml:space="preserve">tenants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tenant_id UUID PRIMARY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VARCHAR(255)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erp_type VARCHAR(50) — iplicit | netsuite | sage | xero | sap | generic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confidence_threshold DECIMAL(4,3) DEFAULT 0.500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high_value_threshold DECIMAL(12,2) DEFAULT 25000.00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qdrant_collection VARCHAR(255) NOT NULL UNIQUE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created_at TIMESTAMPTZ NOT NULL DEFAULT NOW()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is_shadow_mode BOOLEAN DEFAULT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tenant_id (primary key)</w:t>
      </w:r>
    </w:p>
    <w:p/>
    <w:p>
      <w:pPr>
        <w:pStyle w:val="Heading3"/>
      </w:pPr>
      <w:r>
        <w:t xml:space="preserve">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invoice_id UUID PRIMARY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tenant_id UUID NOT NULL REFERENCES tenants(tenant_id)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raw_vendor_name VARCHAR(500)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canonical_vendor_id VARCHAR(255)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 TEXT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description_hash VARCHAR(64) — SHA-256 of description, for deduplication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 DECIMAL(15,2)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 VARCHAR(3) NOT NULL DEFAULT GBP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entity_id VARCHAR(50)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cost_centre VARCHAR(50)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VARCHAR(50) — pending | predicted | auto_posted | review | confirmed | corrected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predicted_gl VARCHAR(20)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confirmed_gl VARCHAR(20)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weighted_confidence DECIMAL(5,4)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routing_decision VARCHAR(20) — auto_post | human_review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routing_reason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ground_truth_gl VARCHAR(20)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created_at TIMESTAMPTZ NOT NULL DEFAULT NOW()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updated_at TIMESTAMPTZ NOT NULL DEFAULT NOW()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status, created_at DESC) — review queue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canonical_vendor_id, created_at DESC) — vendor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confirmed_gl, created_at DESC) — GL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PARTITION BY RANGE (created_at) — monthly partitions, auto-created</w:t>
      </w:r>
    </w:p>
    <w:p/>
    <w:p>
      <w:pPr>
        <w:pStyle w:val="Heading3"/>
      </w:pPr>
      <w:r>
        <w:t xml:space="preserve">audit_log (append-only)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audit_id UUID PRIMARY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tenant_id UUID NOT NULL REFERENCES tenants(tenant_id)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invoice_id UUID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event_type VARCHAR(50) — predicted | auto_posted | routed_for_review | confirmed | corrected | rule_applied | corpus_indexed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predicted_gl VARCHAR(20)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confirmed_gl VARCHAR(20)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DECIMAL(5,4)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routing_decision VARCHAR(20)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VARCHAR(30) — auto_post | human_confirm | human_correct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user_id UUID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trace_id VARCHAR(255) — Langfuse trace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provenance_json JSONB — full evidence, retrieved lines, scores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created_at TIMESTAMPTZ NOT NULL DEFAULT NOW()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invoice_id) — provenance lookup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created_at DESC) — audit trail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event_type, created_at DESC) — event filtering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Append-only enforced via Postgres row security policy: no UPDATE or DELETE permitted on this table for any role.</w:t>
      </w:r>
    </w:p>
    <w:p/>
    <w:p>
      <w:pPr>
        <w:pStyle w:val="Heading3"/>
      </w:pPr>
      <w:r>
        <w:t xml:space="preserve">erp_postings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posting_id UUID PRIMARY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tenant_id UUID NOT NULL REFERENCES tenants(tenant_id)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invoice_id UUID NOT NULL REFERENCES invoices(invoice_id)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erp_reference VARCHAR(255) — ERP-assigned reference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vendor_id VARCHAR(255)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entity_id VARCHAR(50)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gl_account VARCHAR(20)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cost_centre VARCHAR(50)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 DECIMAL(15,2)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 VARCHAR(3)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posted_by VARCHAR(255)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posted_at TIMESTAMPTZ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erp_status VARCHAR(30) — queued | posted | failed | retrying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retry_count INT DEFAULT 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last_error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erp_status) — retry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gl_account, posted_at DESC) — GL reporting</w:t>
      </w:r>
    </w:p>
    <w:p/>
    <w:p>
      <w:pPr>
        <w:pStyle w:val="Heading3"/>
      </w:pPr>
      <w:r>
        <w:t xml:space="preserve">corpus_points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point_id UUID PRIMARY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tenant_id UUID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invoice_id UUID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vendor_id VARCHAR(255)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gl_account VARCHAR(20)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cost_centre VARCHAR(50)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 TEXT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description_hash VARCHAR(64)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amount_band VARCHAR(20)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 VARCHAR(3)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VARCHAR(30)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confirmation_count INT DEFAULT 1 — incremented on deduplication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source_weight DECIMAL(3,1) DEFAULT 1.0 — human_correction=2.0, human_confirm=1.5, auto=1.0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embedding_model VARCHAR(100) — text-embedding-3-small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embedding_model_version VARCHAR(50)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confirmed_at TIMESTAMPTZ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indexed_at TIMESTAMPTZ NOT NULL DEFAULT NOW()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is_outlier_flagged BOOLEAN DEFAULT FALSE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vendor_id) — vendor corpus density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gl_account) — GL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confirmed_at DESC) — temporal decay queries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table mirrors Qdrant — it is the relational record of what is in the vector store. Used for reporting and deduplication checks.</w:t>
      </w:r>
    </w:p>
    <w:p/>
    <w:p>
      <w:pPr>
        <w:pStyle w:val="Heading3"/>
      </w:pPr>
      <w:r>
        <w:t xml:space="preserve">coding_rules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rule_id UUID PRIMARY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tenant_id UUID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rule_type VARCHAR(30) — vendor_override | description_override | amount_override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vendor_id VARCHAR(255)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description_pattern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amount_operator VARCHAR(10) — gt | lt | gte | lte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amount_value DECIMAL(15,2)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gl_account VARCHAR(20)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INT DEFAULT 100 — lower number = higher priority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is_active BOOLEAN DEFAULT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submitted_by UUID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submitted_at TIMESTAMPTZ NOT NULL DEFAULT NOW()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raw_rule_text TEXT — original natural language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is_active, priority)</w:t>
      </w:r>
    </w:p>
    <w:p/>
    <w:p>
      <w:pPr>
        <w:pStyle w:val="Heading3"/>
      </w:pPr>
      <w:r>
        <w:t xml:space="preserve">vendor_map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vendor_map_id UUID PRIMARY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tenant_id UUID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raw_name VARCHAR(500)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canonical_id VARCHAR(255)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mdm_confidence DECIMAL(4,3)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match_method VARCHAR(30) — exact | fuzzy | manual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created_at TIMESTAMPTZ NOT NULL DEFAULT NOW()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UNIQUE: (tenant_id, raw_name)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(tenant_id, canonical_id)</w:t>
      </w:r>
    </w:p>
    <w:p/>
    <w:p>
      <w:pPr>
        <w:pStyle w:val="Heading3"/>
      </w:pPr>
      <w:r>
        <w:t xml:space="preserve">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user_id UUID PRIMARY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tenant_id UUID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VARCHAR(255) NOT NULL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VARCHAR(30) — admin | ap_manager | ap_clerk | read_only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is_active BOOLEAN DEFAULT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created_at TIMESTAMPTZ NOT NULL DEFAULT NOW()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last_login TIMESTAMPTZ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UNIQUE: (tenant_id, email)</w:t>
      </w:r>
    </w:p>
    <w:p/>
    <w:p>
      <w:pPr>
        <w:pStyle w:val="Heading2"/>
      </w:pPr>
      <w:r>
        <w:t xml:space="preserve">2.2 Row Level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table includes tenant_id — enforced at DB level via RLS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Policy: tenant_id = current_setting(app.tenant_id)::UUID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per request: SET LOCAL app.tenant_id = &lt;tenant_id&gt; in transaction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accounts bypass RLS only for admin operations — explicit superuser grant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audit_log: INSERT only via service account, no UPDATE or DELETE for any role</w:t>
      </w:r>
    </w:p>
    <w:p/>
    <w:p>
      <w:pPr>
        <w:pStyle w:val="Heading2"/>
      </w:pPr>
      <w:r>
        <w:t xml:space="preserve">2.3 Indexing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foreign keys indexed — avoid sequential scans on joins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Composite indexes match query patterns exactly — not general purpose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indexes for common filters: CREATE INDEX ON invoices(tenant_id, created_at) WHERE status = pending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JSONB provenance_json: GIN index for full-text search within provenance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with pg_stat_user_indexes — drop unused indexes quarterly</w:t>
      </w:r>
    </w:p>
    <w:p/>
    <w:p>
      <w:pPr>
        <w:pStyle w:val="Heading2"/>
      </w:pPr>
      <w:r>
        <w:t xml:space="preserve">2.4 Partitioning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 and audit_log partitioned by RANGE (created_at) — monthly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Partition auto-creation: pg_partman extension, scheduled monthly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Retention: hot (Postgres, 13 months), warm (S3 Parquet, 7 years)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erp_postings: partitioned by RANGE (posted_at) — monthly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Partition pruning verified via EXPLAIN ANALYZE on all major queries</w:t>
      </w:r>
    </w:p>
    <w:p/>
    <w:p>
      <w:pPr>
        <w:pStyle w:val="Heading1"/>
      </w:pPr>
      <w:r>
        <w:t xml:space="preserve">3. Qdrant Vector Store</w:t>
      </w:r>
    </w:p>
    <w:p/>
    <w:p>
      <w:pPr>
        <w:pStyle w:val="Heading2"/>
      </w:pPr>
      <w:r>
        <w:t xml:space="preserve">3.1 Collection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collection per tenant — named ap_{tenant_id} — complete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 size: 1536 (text-embedding-3-small output dimension)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Distance metric: Cosine — best for normalised text embeddings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On-disk payload index — filter by vendor_id, gl_account, amount_band before vector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Sparse vector index (BM25) alongside dense — enables hybrid retrieval</w:t>
      </w:r>
    </w:p>
    <w:p/>
    <w:p>
      <w:pPr>
        <w:pStyle w:val="Heading2"/>
      </w:pPr>
      <w:r>
        <w:t xml:space="preserve">3.2 Point Payload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point_id: UUID 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invoice_id: UUID 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vendor_id: string — canonical vendor ID, indexed for pre-filtering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gl_account: string — indexed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cost_centre: 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description: string — original text, returned with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amount_band: string — small | medium | large | very_large — indexed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currency: string — indexed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source: string — human_confirm | human_correct | auto_post | seed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source_weight: float — 1.0 | 1.5 | 2.0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confirmation_count: integer — incremented on deduplication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confirmed_at: string ISO8601 — for temporal decay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embedding_model: string — tracks model version</w:t>
      </w:r>
    </w:p>
    <w:p/>
    <w:p>
      <w:pPr>
        <w:pStyle w:val="Heading2"/>
      </w:pPr>
      <w:r>
        <w:t xml:space="preserve">3.3 Retrieval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Top-k: 10 (configurable per tenant)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Dense weight: 0.5, Sparse weight: 0.5 (adaptive by description length — see RAGbot doc)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Pre-filter: vendor_id must match canonical vendor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 filter: entity_id match where available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score threshold: 0.1 — discard near-zero similarity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RRF fusion: k=60 (standard reciprocal rank fusion constant)</w:t>
      </w:r>
    </w:p>
    <w:p/>
    <w:p>
      <w:pPr>
        <w:pStyle w:val="Heading1"/>
      </w:pPr>
      <w:r>
        <w:t xml:space="preserve">4. Redis Caching Strategy</w:t>
      </w:r>
    </w:p>
    <w:p/>
    <w:p>
      <w:pPr>
        <w:pStyle w:val="Heading2"/>
      </w:pPr>
      <w:r>
        <w:t xml:space="preserve">4.1 Cache Keys and TTLs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Cache key pattern</w:t>
            </w:r>
          </w:p>
        </w:tc>
        <w:tc>
          <w:tcPr>
            <w:tcW w:type="dxa" w:w="12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TTL</w:t>
            </w:r>
          </w:p>
        </w:tc>
        <w:tc>
          <w:tcPr>
            <w:tcW w:type="dxa" w:w="46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Invalidation trigger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{tenant}:vendor:{raw_name}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map update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{tenant}:embedding:{description_hash}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 model version change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{tenant}:coa:{gl_code}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 of accounts sync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{tenant}:metrics:{period}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new batch completion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{tenant}:corpus:stats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corpus write-back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{tenant}:rules:active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rule submit/revoke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rate:{tenant}:{endpoint}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Rolling window</w:t>
            </w:r>
          </w:p>
        </w:tc>
      </w:tr>
    </w:tbl>
    <w:p/>
    <w:p>
      <w:pPr>
        <w:pStyle w:val="Heading2"/>
      </w:pPr>
      <w:r>
        <w:t xml:space="preserve">4.2 Cache Failure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unavailable: fall through to source — never fail a prediction due to cache miss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stampede protection: probabilistic early expiration (jitter on TTL)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limit: 512MB per tenant namespace — LRU eviction policy</w:t>
      </w:r>
    </w:p>
    <w:p/>
    <w:p>
      <w:pPr>
        <w:pStyle w:val="Heading1"/>
      </w:pPr>
      <w:r>
        <w:t xml:space="preserve">5. S3 Object Store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Bucket: ap-automation-{env} — one bucket per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Prefix structure: {tenant_id}/audit/{year}/{month}/{day}/{file}.parquet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Prefix structure: {tenant_id}/exports/{job_id}/{file}.csv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Prefix structure: {tenant_id}/uploads/{invoice_id}/{file}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encryption: SSE-KMS with per-tenant KMS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Versioning enabled — accidental deletions recoverable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Lifecycle rules: audit archives to Glacier after 1 year, delete after 7 years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Access: via pre-signed URLs only — no public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export job: nightly, exports previous day audit_log partition to Parquet</w:t>
      </w:r>
    </w:p>
    <w:p/>
    <w:p>
      <w:pPr>
        <w:pStyle w:val="Heading1"/>
      </w:pPr>
      <w:r>
        <w:t xml:space="preserve">6. Schema Migrations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Alembic for all schema changes — never manual SQL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naming: YYYYMMDD_HHMMSS_description.py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migration is reversible — downgrade() implemented and tested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 run automatically on deploy — before application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Zero-downtime migrations: additive changes only in rolling deploys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Breaking changes (column rename, type change): multi-step with feature flag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Step 1: add new column, write to both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Step 2: backfill old column to new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Step 3: read from new column only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Step 4: drop old column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tested in staging before production — automated in CI</w:t>
      </w:r>
    </w:p>
    <w:p/>
    <w:p>
      <w:pPr>
        <w:pStyle w:val="Heading1"/>
      </w:pPr>
      <w:r>
        <w:t xml:space="preserve">7. Backup &amp; Recovery</w:t>
      </w:r>
    </w:p>
    <w:p/>
    <w:p>
      <w:pPr>
        <w:pStyle w:val="Heading2"/>
      </w:pPr>
      <w:r>
        <w:t xml:space="preserve">7.1 Postgres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daily snapshots via RDS — retained 35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Point-in-time recovery (PITR): enabled, RPO = 5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Cross-region backup: daily snapshot replicated to secondary AWS region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test: quarterly restore drill — measure RTO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RTO: 1 hour | Target RPO: 5 minutes</w:t>
      </w:r>
    </w:p>
    <w:p/>
    <w:p>
      <w:pPr>
        <w:pStyle w:val="Heading2"/>
      </w:pPr>
      <w:r>
        <w:t xml:space="preserve">7.2 Qdrant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Qdrant Cloud managed snapshots — daily, retained 7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On-demand snapshot before any corpus restructure or re-embedding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Snapshot exported to S3 monthly for long-term retention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Recovery: restore from snapshot, re-apply any write-backs since snapshot</w:t>
      </w:r>
    </w:p>
    <w:p/>
    <w:p>
      <w:pPr>
        <w:pStyle w:val="Heading2"/>
      </w:pPr>
      <w:r>
        <w:t xml:space="preserve">7.3 Redis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ElastiCache: AOF persistence enabled — data survives restart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is cache-only — loss acceptable, will repopulate from 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Multi-AZ with automatic failover — &lt;1min RTO on AZ failure</w:t>
      </w:r>
    </w:p>
    <w:p/>
    <w:p>
      <w:pPr>
        <w:pStyle w:val="Heading1"/>
      </w:pPr>
      <w:r>
        <w:t xml:space="preserve">8. Data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Hot retention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Warm retention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 after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records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months (Postgres)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years (S3 Parquet)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years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log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months (Postgres)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years (S3 Parquet)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years (legal requirement)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 postings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months (Postgres)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years (S3 Parquet)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years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Corpus points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Indefinite (Qdrant)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right-to-erasure request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Embeddings cache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 (Redis)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TTL expiry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Langfuse traces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days (Langfuse Cloud)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export files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days (S3)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days</w:t>
            </w:r>
          </w:p>
        </w:tc>
      </w:tr>
    </w:tbl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 | 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2026-10-02T17:33:24.429Z</dcterms:created>
  <dcterms:modified xsi:type="dcterms:W3CDTF">2026-10-02T17:33:24.436Z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