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Platform -- Middleware Best in Class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specification of everything required to make the AI Platform middleware layer best-in-class. Covers API design, agentic orchestration, LLM optimisation, system integration, security, multi-tenancy, observability, resilience, developer experience, and commercial architecture.</w:t>
      </w:r>
    </w:p>
    <w:p>
      <w:r>
        <w:rPr>
          <w:rFonts w:ascii="Arial" w:cs="Arial" w:eastAsia="Arial" w:hAnsi="Arial"/>
          <w:sz w:val="20"/>
          <w:szCs w:val="20"/>
        </w:rPr>
        <w:t xml:space="preserve">Aria AI Platform | Architecture Series</w:t>
      </w:r>
    </w:p>
    <w:p/>
    <w:p>
      <w:pPr>
        <w:pStyle w:val="Heading1"/>
      </w:pPr>
      <w:r>
        <w:t xml:space="preserve">1. API Layer</w:t>
      </w:r>
    </w:p>
    <w:p/>
    <w:p>
      <w:pPr>
        <w:pStyle w:val="Heading2"/>
      </w:pPr>
      <w:r>
        <w:t xml:space="preserve">1.1 Core API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Async-first throughout -- no blocking calls in request handlers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OpenAPI spec auto-generated and versioned with deprecation headers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Request/response models via Pydantic v2 -- strict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error envelope: { error_code, message, trace_id, timestamp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keys on all POST endpoints -- safe to retry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ID propagation -- threaded through every downstream call and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Cursor-based pagination on all list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outputs -- all LLM-generated content uses guaranteed JSON schema outputs</w:t>
      </w:r>
    </w:p>
    <w:p/>
    <w:p>
      <w:pPr>
        <w:pStyle w:val="Heading2"/>
      </w:pPr>
      <w:r>
        <w:t xml:space="preserve">1.2 Streaming Responses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StreamingResponse for all LLM-generated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Server-Sent Events (SSE) on the frontend to consume streamed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token buffer: accumulate until sentence boundary before flushing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non-streaming endpoint always available for clients that do not support SSE</w:t>
      </w:r>
    </w:p>
    <w:p/>
    <w:p>
      <w:pPr>
        <w:pStyle w:val="Heading2"/>
      </w:pPr>
      <w:r>
        <w:t xml:space="preserve">1.3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rate limiting via Redis token bucket -- configurable per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Burst allowance for batch jobs -- separate limit from interactive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429 response includes Retry-After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headers on every response</w:t>
      </w:r>
    </w:p>
    <w:p/>
    <w:p>
      <w:pPr>
        <w:pStyle w:val="Heading2"/>
      </w:pPr>
      <w:r>
        <w:t xml:space="preserve">1.4 Webhook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Tenants register webhook endpoints for platform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payloads -- HMAC-SHA256 with tenant secret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with exponential backoff on delivery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delivery log stored in database -- queryable via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letter queue for failed webhooks -- alerting after 3 failures</w:t>
      </w:r>
    </w:p>
    <w:p/>
    <w:p>
      <w:pPr>
        <w:pStyle w:val="Heading1"/>
      </w:pPr>
      <w:r>
        <w:t xml:space="preserve">2. LLM Optimisation Layer</w:t>
      </w:r>
    </w:p>
    <w:p/>
    <w:p>
      <w:pPr>
        <w:pStyle w:val="Heading2"/>
      </w:pPr>
      <w:r>
        <w:t xml:space="preserve">2.1 Prompt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prompt caching on all stable system prompts via cache_control: {type: ephemeral}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hit rate target: &gt;90% during batch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cache hit/miss ratio per trace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cost reduction: 80-90% on system prompt tokens</w:t>
      </w:r>
    </w:p>
    <w:p/>
    <w:p>
      <w:pPr>
        <w:pStyle w:val="Heading2"/>
      </w:pPr>
      <w:r>
        <w:t xml:space="preserve">2.2 Model Routing by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tier</w:t>
            </w:r>
          </w:p>
        </w:tc>
        <w:tc>
          <w:tcPr>
            <w:tcW w:type="dxa" w:w="3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High-volume, simple generation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Haiku / small model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optimised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extraction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Haiku / small model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compliance sufficient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Complex multi-step reasoning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Sonnet / mid model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critical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Long-form document generation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Sonnet / mid model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Accuracy critical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Adversarial / red team testing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Opus / large model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Maximum capability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t xml:space="preserve">Model router implemented as middleware -- never hardcoded in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selection configurable per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chain: primary model unavailable -&gt; fall back to next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version pinned per deployment -- never use latest alias in production</w:t>
      </w:r>
    </w:p>
    <w:p/>
    <w:p>
      <w:pPr>
        <w:pStyle w:val="Heading2"/>
      </w:pPr>
      <w:r>
        <w:t xml:space="preserve">2.3 Batch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Batch API for non-real-time workloads: nightly jobs, bulk generation, eval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use for interactive requests requiring immediate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cost reduction: 50% on all batch workloads</w:t>
      </w:r>
    </w:p>
    <w:p/>
    <w:p>
      <w:pPr>
        <w:pStyle w:val="Heading2"/>
      </w:pPr>
      <w:r>
        <w:t xml:space="preserve">2.4 Tool Use Parallelism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independent tool calls in each agent step -- call in parallel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parallel tool call responses as a list, not a sequence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latency reduction: 40-60% on multi-tool agent steps</w:t>
      </w:r>
    </w:p>
    <w:p/>
    <w:p>
      <w:pPr>
        <w:pStyle w:val="Heading2"/>
      </w:pPr>
      <w:r>
        <w:t xml:space="preserve">2.5 Context Window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token count per conversation 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50% of context window: summarise older turns using small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80%: aggressive summarisation -- keep only last 5 turns verbatim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full conversation history in database -- retrievable for audit</w:t>
      </w:r>
    </w:p>
    <w:p/>
    <w:p>
      <w:pPr>
        <w:pStyle w:val="Heading2"/>
      </w:pPr>
      <w:r>
        <w:t xml:space="preserve">2.6 Guardrails and Hallucination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Faithfulness check: verify all LLM claims reference retrieved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Threshold: low-faithfulness outputs flagged for human review rather than surfaced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Guardrail layer sits between LLM output and API response -- never bypass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API: every claim anchored to a specific retrieved evidence line</w:t>
      </w:r>
    </w:p>
    <w:p/>
    <w:p>
      <w:pPr>
        <w:pStyle w:val="Heading2"/>
      </w:pPr>
      <w:r>
        <w:t xml:space="preserve">2.7 Citations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 retrieved evidence as documents to the Citations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generates output with inline citations linking each claim to a specific evidence 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stored in audit record -- fully auditable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Eliminates need for post-hoc faithfulness checking -- citations are structural</w:t>
      </w:r>
    </w:p>
    <w:p/>
    <w:p>
      <w:pPr>
        <w:pStyle w:val="Heading1"/>
      </w:pPr>
      <w:r>
        <w:t xml:space="preserve">3. Agentic Layer</w:t>
      </w:r>
    </w:p>
    <w:p/>
    <w:p>
      <w:pPr>
        <w:pStyle w:val="Heading2"/>
      </w:pPr>
      <w:r>
        <w:t xml:space="preserve">3.1 Agent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LangGraph state machine -- nodes for each agent action, edges for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Supervisor node -- routes to appropriate sub-agent based on confidence and document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 node -- suspends execution pending human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Checkpointing -- graph state persisted to database, survives restarts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handling -- stalled reviews escalate after configurable period</w:t>
      </w:r>
    </w:p>
    <w:p/>
    <w:p>
      <w:pPr>
        <w:pStyle w:val="Heading2"/>
      </w:pPr>
      <w:r>
        <w:t xml:space="preserve">3.2 A2A Protocol</w:t>
      </w:r>
    </w:p>
    <w:p>
      <w:r>
        <w:rPr>
          <w:rFonts w:ascii="Arial" w:cs="Arial" w:eastAsia="Arial" w:hAnsi="Arial"/>
          <w:sz w:val="20"/>
          <w:szCs w:val="20"/>
        </w:rPr>
        <w:t xml:space="preserve">Agent-to-Agent (A2A) is an open standard for inter-agent communication, enabling specialist agents to collaborate without tight coupling.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A2A server interface for each specialised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AgentCard: each agent publishes its capabilities, input/output schema, and authentication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Supervisor discovers available agents via A2A directory rather than hardcoded imports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Benefits: agents updated independently, swapped for better models, replaced by third-party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Enables: third-party specialist agents plugged in via A2A without middleware changes</w:t>
      </w:r>
    </w:p>
    <w:p/>
    <w:p>
      <w:pPr>
        <w:pStyle w:val="Heading2"/>
      </w:pPr>
      <w:r>
        <w:t xml:space="preserve">3.3 Tool Registry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 registered as typed Python functions -- auto-converted to LLM tool schemas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tools documented with purpose, inputs, outputs, and error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parallelism exploited where tool calls are independent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call results validated against schema before use</w:t>
      </w:r>
    </w:p>
    <w:p/>
    <w:p>
      <w:pPr>
        <w:pStyle w:val="Heading1"/>
      </w:pPr>
      <w:r>
        <w:t xml:space="preserve">4. System Integration Layer</w:t>
      </w:r>
    </w:p>
    <w:p/>
    <w:p>
      <w:pPr>
        <w:pStyle w:val="Heading2"/>
      </w:pPr>
      <w:r>
        <w:t xml:space="preserve">4.1 Connector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Abstract Connector base class -- all connectors implement the same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Connector registry -- tenants configured with their system type and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pooling -- reuse authenticated sessions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 rotation -- connectors pick up new credentials without restart</w:t>
      </w:r>
    </w:p>
    <w:p/>
    <w:p>
      <w:pPr>
        <w:pStyle w:val="Heading2"/>
      </w:pPr>
      <w:r>
        <w:t xml:space="preserve">4.2 Computer Use for Systems Without APIs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no API exists, Claude computer use automates the target system UI directly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verification after every UI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Screenshots stored for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to computer use only when API connector unavailable</w:t>
      </w:r>
    </w:p>
    <w:p/>
    <w:p>
      <w:pPr>
        <w:pStyle w:val="Heading2"/>
      </w:pPr>
      <w:r>
        <w:t xml:space="preserve">4.3 Event-Driven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bus: AWS EventBridge (cloud-native) or Apache Kafka (high-throughput)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significant state changes published as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Downstream services subscribe to events -- fully decoupled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iPaaS integration: events forwarded to Make, Zapier, n8n for low-code client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Benefits: system outages do not block processing; event replay for recovery</w:t>
      </w:r>
    </w:p>
    <w:p/>
    <w:p>
      <w:pPr>
        <w:pStyle w:val="Heading2"/>
      </w:pPr>
      <w:r>
        <w:t xml:space="preserve">4.4 iPaaS Connectors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Make: publish a module exposing core platform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Zapier: publish an app with triggers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n8n: publish a community node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iPaaS connectors authenticate via API key</w:t>
      </w:r>
    </w:p>
    <w:p/>
    <w:p>
      <w:pPr>
        <w:pStyle w:val="Heading1"/>
      </w:pPr>
      <w:r>
        <w:t xml:space="preserve">5. Security and Compliance</w:t>
      </w:r>
    </w:p>
    <w:p/>
    <w:p>
      <w:pPr>
        <w:pStyle w:val="Heading2"/>
      </w:pPr>
      <w:r>
        <w:t xml:space="preserve">5.1 Authentication and Authorisation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OAuth2 + JWT -- access tokens (15 min TTL) and refresh tokens (7 day TTL)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with configurable roles per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permissions enforced at API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accounts for system connectors -- scoped to required endpoints only</w:t>
      </w:r>
    </w:p>
    <w:p/>
    <w:p>
      <w:pPr>
        <w:pStyle w:val="Heading2"/>
      </w:pPr>
      <w:r>
        <w:t xml:space="preserve">5.2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encrypted at rest -- KMS, per-tenant encryption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encrypted in transit -- TLS 1.3 minimum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management: HashiCorp Vault -- no secrets in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credentials rotated regularly via Vault dynamic secrets</w:t>
      </w:r>
    </w:p>
    <w:p/>
    <w:p>
      <w:pPr>
        <w:pStyle w:val="Heading2"/>
      </w:pPr>
      <w:r>
        <w:t xml:space="preserve">5.3 Supply Chain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SBOM generated on every build via Syft or Trivy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scanning: block deployment on critical CVEs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image signing with Cosign -- verify signature before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dependencies pinned to exact versions with hash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scanning: ensure all dependencies compatible with commercial use</w:t>
      </w:r>
    </w:p>
    <w:p/>
    <w:p>
      <w:pPr>
        <w:pStyle w:val="Heading2"/>
      </w:pPr>
      <w:r>
        <w:t xml:space="preserve">5.4 Red Teaming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Adversarial testing of all LLM input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injection testing: crafted inputs designed to manipulate LLM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red team tests quarterly using maximum-capability model as attacker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findings documented and remediated before next production 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sanitisation: strip instruction-following patterns before LLM path</w:t>
      </w:r>
    </w:p>
    <w:p/>
    <w:p>
      <w:pPr>
        <w:pStyle w:val="Heading2"/>
      </w:pPr>
      <w:r>
        <w:t xml:space="preserve">5.5 Audit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 audit log -- no updates or deletes permitted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prediction, confirmation, and correction logged with user, timestamp, trace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archived to object store -- retained per regulatory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right to erasure pipeline -- see Data Architecture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 2 Type II alignment -- all controls documented and testable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penetration test -- findings tracked, critical issues remediated within 30 days</w:t>
      </w:r>
    </w:p>
    <w:p/>
    <w:p>
      <w:pPr>
        <w:pStyle w:val="Heading1"/>
      </w:pPr>
      <w:r>
        <w:t xml:space="preserve">6. Multi-Tenancy</w:t>
      </w:r>
    </w:p>
    <w:p/>
    <w:p>
      <w:pPr>
        <w:pStyle w:val="Heading2"/>
      </w:pPr>
      <w:r>
        <w:t xml:space="preserve">6.1 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vector collection -- complete corpus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Row Level Security -- every table filtered by tenant_id at database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namespace per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signing keys -- token from tenant A cannot access tenant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observability project</w:t>
      </w:r>
    </w:p>
    <w:p/>
    <w:p>
      <w:pPr>
        <w:pStyle w:val="Heading2"/>
      </w:pPr>
      <w:r>
        <w:t xml:space="preserve">6.2 Feature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 service scoped per tenant -- controlled rollout without code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Canary releases: enable for small percentage of tenants, monitor, expand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kill switch: disable any feature globally in under 1 minute</w:t>
      </w:r>
    </w:p>
    <w:p/>
    <w:p>
      <w:pPr>
        <w:pStyle w:val="Heading2"/>
      </w:pPr>
      <w:r>
        <w:t xml:space="preserve">6.3 Cost Attribution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all LLM API calls with tenant_id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token usage per tenant per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on usage anomalies: &gt;2x normal daily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data feeds into usage-based billing</w:t>
      </w:r>
    </w:p>
    <w:p/>
    <w:p>
      <w:pPr>
        <w:pStyle w:val="Heading2"/>
      </w:pPr>
      <w:r>
        <w:t xml:space="preserve">6.4 White-Labelling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branding: logo, primary colour, company name, email sender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reads branding from tenant config at runtime -- no per-tenant builds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 support via CNAME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responses contain no platform-specific references</w:t>
      </w:r>
    </w:p>
    <w:p/>
    <w:p>
      <w:pPr>
        <w:pStyle w:val="Heading1"/>
      </w:pPr>
      <w:r>
        <w:t xml:space="preserve">7. Resilience</w:t>
      </w:r>
    </w:p>
    <w:p/>
    <w:p>
      <w:pPr>
        <w:pStyle w:val="Heading2"/>
      </w:pPr>
      <w:r>
        <w:t xml:space="preserve">7.1 Circuit Breakers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on every external call: vector store, LLM API, system connectors,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route all documents to human review on vector store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use cached embeddings where available on LLM API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queue postings on system connector failure</w:t>
      </w:r>
    </w:p>
    <w:p/>
    <w:p>
      <w:pPr>
        <w:pStyle w:val="Heading2"/>
      </w:pPr>
      <w:r>
        <w:t xml:space="preserve">7.2 CQRS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 side: write handlers -&gt; async task queue -&gt; system connectors + corpus indexing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side: read handlers -&gt; read replica database + vector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write spikes do not degrade read/prediction latency</w:t>
      </w:r>
    </w:p>
    <w:p/>
    <w:p>
      <w:pPr>
        <w:pStyle w:val="Heading2"/>
      </w:pPr>
      <w:r>
        <w:t xml:space="preserve">7.3 Idempotency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Redis-backed idempotency store with TTL matching the processing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every system write: check idempotency store first -- return cached result if exists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Distributed lock via Redis SETNX to prevent concurrent duplicate writes</w:t>
      </w:r>
    </w:p>
    <w:p/>
    <w:p>
      <w:pPr>
        <w:pStyle w:val="Heading1"/>
      </w:pPr>
      <w:r>
        <w:t xml:space="preserve">8. Observability</w:t>
      </w:r>
    </w:p>
    <w:p/>
    <w:p>
      <w:pPr>
        <w:pStyle w:val="Heading2"/>
      </w:pPr>
      <w:r>
        <w:t xml:space="preserve">8.1 Distributed Tracing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instrumentation throughout -- traces, metrics, logs unified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LLM-specific tracing via observability platform -- every prediction, confirmation, agentic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spans propagated through entire stack including system connectors and event bus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Sampling: 100% of auto-confirms and corrections, 10% of routine predictions</w:t>
      </w:r>
    </w:p>
    <w:p/>
    <w:p>
      <w:pPr>
        <w:pStyle w:val="Heading2"/>
      </w:pPr>
      <w:r>
        <w:t xml:space="preserve">8.2 Evals as a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 results published to stakeholder-visible dashboard after every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shows: RAGAS scores over time, LLM-as-judge scores, calibration curve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weekly eval summary email to nominated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Read-only dashboard access for clients -- no engineering tool access required</w:t>
      </w:r>
    </w:p>
    <w:p/>
    <w:p>
      <w:pPr>
        <w:pStyle w:val="Heading2"/>
      </w:pPr>
      <w:r>
        <w:t xml:space="preserve">8.3 Alerting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 (immediate): availability &lt;99%, false positive rate &gt;1%, system write failure &gt;10%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 (30 min): accuracy rate &lt;97%, circuit breaker open &gt;5 min, LLM cost spike &gt;2x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 (next business day): RAGAS score drop &gt;5pp, corpus drift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Runbooks linked from every alert</w:t>
      </w:r>
    </w:p>
    <w:p/>
    <w:p>
      <w:pPr>
        <w:pStyle w:val="Heading1"/>
      </w:pPr>
      <w:r>
        <w:t xml:space="preserve">9. Commercial Architecture</w:t>
      </w:r>
    </w:p>
    <w:p/>
    <w:p>
      <w:pPr>
        <w:pStyle w:val="Heading2"/>
      </w:pPr>
      <w:r>
        <w:t xml:space="preserve">9.1 Usage-Based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Meter: documents processed, auto-confirmed, API calls per tenant per 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tiers: Starter, Growth, Enterprise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monthly invoicing via Stripe Billing metered usage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Overage alerts when approaching tier limit</w:t>
      </w:r>
    </w:p>
    <w:p/>
    <w:p>
      <w:pPr>
        <w:pStyle w:val="Heading2"/>
      </w:pPr>
      <w:r>
        <w:t xml:space="preserve">9.2 SLA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response</w:t>
            </w:r>
          </w:p>
        </w:tc>
        <w:tc>
          <w:tcPr>
            <w:tcW w:type="dxa" w:w="2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99.5%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business day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API, email support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99.9%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hours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Webhooks, streaming, priority queue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99.95%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White-label, custom domain, dedicated support, SLA credit</w:t>
            </w:r>
          </w:p>
        </w:tc>
      </w:tr>
    </w:tbl>
    <w:p/>
    <w:p>
      <w:pPr>
        <w:pStyle w:val="Heading1"/>
      </w:pPr>
      <w:r>
        <w:t xml:space="preserve">10.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200"/>
        <w:gridCol w:w="2760"/>
      </w:tblGrid>
      <w:tr>
        <w:trPr>
          <w:tblHeader/>
        </w:trPr>
        <w:tc>
          <w:tcPr>
            <w:tcW w:type="dxa" w:w="6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27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core + Pydantic models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OAuth2 + JWT + RBAC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first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system connector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value delivery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 caching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80-90% LLM cost reduction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routing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optimisation from day one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task queue + circuit breakers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Resilience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Multi-tenant isolation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requirement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Append-only audit log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outputs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Eliminates parsing errors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security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baseline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responses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improvement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Citations API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Hallucination elimination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use parallelism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Latency reduction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A2A protocol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Extensibility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flags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Controlled rollout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attribution per tenant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 and anomaly detection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Event-driven architecture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High-volume support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LLM-as-judge evals in CI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assurance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Evals as a service dashboard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Stakeholder visibility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teaming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CQRS pattern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Idempotency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Distributed reliability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window management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conversations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Computer use for systems without APIs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Coverage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iPaaS connectors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Low-code integration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API for nightly workloads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 cost reduction on batch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White-labelling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Partner channel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Usage-based billing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tiers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</w:tr>
    </w:tbl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Aria AI Platform | Architecture Series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2026-10-15T21:18:37.106Z</dcterms:created>
  <dcterms:modified xsi:type="dcterms:W3CDTF">2026-10-15T21:18:37.107Z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