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 Client Onboarding &amp; Implementation Guide</w:t>
      </w:r>
    </w:p>
    <w:p>
      <w:r>
        <w:rPr>
          <w:rFonts w:ascii="Arial" w:cs="Arial" w:eastAsia="Arial" w:hAnsi="Arial"/>
          <w:sz w:val="20"/>
          <w:szCs w:val="20"/>
        </w:rPr>
        <w:t xml:space="preserve">End-to-end guide for onboarding a new client — from initial data extract through shadow mode to production go-live and AP clerk training.</w:t>
      </w:r>
    </w:p>
    <w:p>
      <w:r>
        <w:rPr>
          <w:rFonts w:ascii="Arial" w:cs="Arial" w:eastAsia="Arial" w:hAnsi="Arial"/>
          <w:sz w:val="20"/>
          <w:szCs w:val="20"/>
        </w:rPr>
        <w:t xml:space="preserve">October 2026  |  Form Consulting Services  |  Akkoda</w:t>
      </w:r>
    </w:p>
    <w:p/>
    <w:p>
      <w:pPr>
        <w:pStyle w:val="Heading1"/>
      </w:pPr>
      <w:r>
        <w:t xml:space="preserve">1. Onboarding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shd w:color="E2E8F0" w:val="clear"/>
          </w:tcPr>
          <w:p>
            <w:r>
              <w:rPr>
                <w:rFonts w:ascii="Arial" w:cs="Arial" w:eastAsia="Arial" w:hAnsi="Arial"/>
                <w:b/>
                <w:bCs/>
                <w:sz w:val="18"/>
                <w:szCs w:val="18"/>
              </w:rPr>
              <w:t xml:space="preserve">Phase</w:t>
            </w:r>
          </w:p>
        </w:tc>
        <w:tc>
          <w:tcPr>
            <w:tcW w:type="dxa" w:w="3500"/>
            <w:shd w:color="E2E8F0" w:val="clear"/>
          </w:tcPr>
          <w:p>
            <w:r>
              <w:rPr>
                <w:rFonts w:ascii="Arial" w:cs="Arial" w:eastAsia="Arial" w:hAnsi="Arial"/>
                <w:b/>
                <w:bCs/>
                <w:sz w:val="18"/>
                <w:szCs w:val="18"/>
              </w:rPr>
              <w:t xml:space="preserve">Activity</w:t>
            </w:r>
          </w:p>
        </w:tc>
        <w:tc>
          <w:tcPr>
            <w:tcW w:type="dxa" w:w="1800"/>
            <w:shd w:color="E2E8F0" w:val="clear"/>
          </w:tcPr>
          <w:p>
            <w:r>
              <w:rPr>
                <w:rFonts w:ascii="Arial" w:cs="Arial" w:eastAsia="Arial" w:hAnsi="Arial"/>
                <w:b/>
                <w:bCs/>
                <w:sz w:val="18"/>
                <w:szCs w:val="18"/>
              </w:rPr>
              <w:t xml:space="preserve">Owner</w:t>
            </w:r>
          </w:p>
        </w:tc>
        <w:tc>
          <w:tcPr>
            <w:tcW w:type="dxa" w:w="2560"/>
            <w:shd w:color="E2E8F0" w:val="clear"/>
          </w:tcPr>
          <w:p>
            <w:r>
              <w:rPr>
                <w:rFonts w:ascii="Arial" w:cs="Arial" w:eastAsia="Arial" w:hAnsi="Arial"/>
                <w:b/>
                <w:bCs/>
                <w:sz w:val="18"/>
                <w:szCs w:val="18"/>
              </w:rPr>
              <w:t xml:space="preserve">Duration</w:t>
            </w:r>
          </w:p>
        </w:tc>
      </w:tr>
      <w:tr>
        <w:tc>
          <w:p>
            <w:r>
              <w:rPr>
                <w:rFonts w:ascii="Arial" w:cs="Arial" w:eastAsia="Arial" w:hAnsi="Arial"/>
                <w:b w:val="false"/>
                <w:bCs w:val="false"/>
                <w:sz w:val="18"/>
                <w:szCs w:val="18"/>
              </w:rPr>
              <w:t xml:space="preserve">1</w:t>
            </w:r>
          </w:p>
        </w:tc>
        <w:tc>
          <w:p>
            <w:r>
              <w:rPr>
                <w:rFonts w:ascii="Arial" w:cs="Arial" w:eastAsia="Arial" w:hAnsi="Arial"/>
                <w:b w:val="false"/>
                <w:bCs w:val="false"/>
                <w:sz w:val="18"/>
                <w:szCs w:val="18"/>
              </w:rPr>
              <w:t xml:space="preserve">Discovery — data audit, ERP access, chart of accounts</w:t>
            </w:r>
          </w:p>
        </w:tc>
        <w:tc>
          <w:p>
            <w:r>
              <w:rPr>
                <w:rFonts w:ascii="Arial" w:cs="Arial" w:eastAsia="Arial" w:hAnsi="Arial"/>
                <w:b w:val="false"/>
                <w:bCs w:val="false"/>
                <w:sz w:val="18"/>
                <w:szCs w:val="18"/>
              </w:rPr>
              <w:t xml:space="preserve">FCS + Client</w:t>
            </w:r>
          </w:p>
        </w:tc>
        <w:tc>
          <w:p>
            <w:r>
              <w:rPr>
                <w:rFonts w:ascii="Arial" w:cs="Arial" w:eastAsia="Arial" w:hAnsi="Arial"/>
                <w:b w:val="false"/>
                <w:bCs w:val="false"/>
                <w:sz w:val="18"/>
                <w:szCs w:val="18"/>
              </w:rPr>
              <w:t xml:space="preserve">1 week</w:t>
            </w:r>
          </w:p>
        </w:tc>
      </w:tr>
      <w:tr>
        <w:tc>
          <w:p>
            <w:r>
              <w:rPr>
                <w:rFonts w:ascii="Arial" w:cs="Arial" w:eastAsia="Arial" w:hAnsi="Arial"/>
                <w:b w:val="false"/>
                <w:bCs w:val="false"/>
                <w:sz w:val="18"/>
                <w:szCs w:val="18"/>
              </w:rPr>
              <w:t xml:space="preserve">2</w:t>
            </w:r>
          </w:p>
        </w:tc>
        <w:tc>
          <w:p>
            <w:r>
              <w:rPr>
                <w:rFonts w:ascii="Arial" w:cs="Arial" w:eastAsia="Arial" w:hAnsi="Arial"/>
                <w:b w:val="false"/>
                <w:bCs w:val="false"/>
                <w:sz w:val="18"/>
                <w:szCs w:val="18"/>
              </w:rPr>
              <w:t xml:space="preserve">Data extract — historical confirmed invoices</w:t>
            </w:r>
          </w:p>
        </w:tc>
        <w:tc>
          <w:p>
            <w:r>
              <w:rPr>
                <w:rFonts w:ascii="Arial" w:cs="Arial" w:eastAsia="Arial" w:hAnsi="Arial"/>
                <w:b w:val="false"/>
                <w:bCs w:val="false"/>
                <w:sz w:val="18"/>
                <w:szCs w:val="18"/>
              </w:rPr>
              <w:t xml:space="preserve">Client AP team</w:t>
            </w:r>
          </w:p>
        </w:tc>
        <w:tc>
          <w:p>
            <w:r>
              <w:rPr>
                <w:rFonts w:ascii="Arial" w:cs="Arial" w:eastAsia="Arial" w:hAnsi="Arial"/>
                <w:b w:val="false"/>
                <w:bCs w:val="false"/>
                <w:sz w:val="18"/>
                <w:szCs w:val="18"/>
              </w:rPr>
              <w:t xml:space="preserve">1 week</w:t>
            </w:r>
          </w:p>
        </w:tc>
      </w:tr>
      <w:tr>
        <w:tc>
          <w:p>
            <w:r>
              <w:rPr>
                <w:rFonts w:ascii="Arial" w:cs="Arial" w:eastAsia="Arial" w:hAnsi="Arial"/>
                <w:b w:val="false"/>
                <w:bCs w:val="false"/>
                <w:sz w:val="18"/>
                <w:szCs w:val="18"/>
              </w:rPr>
              <w:t xml:space="preserve">3</w:t>
            </w:r>
          </w:p>
        </w:tc>
        <w:tc>
          <w:p>
            <w:r>
              <w:rPr>
                <w:rFonts w:ascii="Arial" w:cs="Arial" w:eastAsia="Arial" w:hAnsi="Arial"/>
                <w:b w:val="false"/>
                <w:bCs w:val="false"/>
                <w:sz w:val="18"/>
                <w:szCs w:val="18"/>
              </w:rPr>
              <w:t xml:space="preserve">Corpus seeding — validate, clean, index historical data</w:t>
            </w:r>
          </w:p>
        </w:tc>
        <w:tc>
          <w:p>
            <w:r>
              <w:rPr>
                <w:rFonts w:ascii="Arial" w:cs="Arial" w:eastAsia="Arial" w:hAnsi="Arial"/>
                <w:b w:val="false"/>
                <w:bCs w:val="false"/>
                <w:sz w:val="18"/>
                <w:szCs w:val="18"/>
              </w:rPr>
              <w:t xml:space="preserve">FCS</w:t>
            </w:r>
          </w:p>
        </w:tc>
        <w:tc>
          <w:p>
            <w:r>
              <w:rPr>
                <w:rFonts w:ascii="Arial" w:cs="Arial" w:eastAsia="Arial" w:hAnsi="Arial"/>
                <w:b w:val="false"/>
                <w:bCs w:val="false"/>
                <w:sz w:val="18"/>
                <w:szCs w:val="18"/>
              </w:rPr>
              <w:t xml:space="preserve">2-3 days</w:t>
            </w:r>
          </w:p>
        </w:tc>
      </w:tr>
      <w:tr>
        <w:tc>
          <w:p>
            <w:r>
              <w:rPr>
                <w:rFonts w:ascii="Arial" w:cs="Arial" w:eastAsia="Arial" w:hAnsi="Arial"/>
                <w:b w:val="false"/>
                <w:bCs w:val="false"/>
                <w:sz w:val="18"/>
                <w:szCs w:val="18"/>
              </w:rPr>
              <w:t xml:space="preserve">4</w:t>
            </w:r>
          </w:p>
        </w:tc>
        <w:tc>
          <w:p>
            <w:r>
              <w:rPr>
                <w:rFonts w:ascii="Arial" w:cs="Arial" w:eastAsia="Arial" w:hAnsi="Arial"/>
                <w:b w:val="false"/>
                <w:bCs w:val="false"/>
                <w:sz w:val="18"/>
                <w:szCs w:val="18"/>
              </w:rPr>
              <w:t xml:space="preserve">Shadow mode — 30 days predicting without posting</w:t>
            </w:r>
          </w:p>
        </w:tc>
        <w:tc>
          <w:p>
            <w:r>
              <w:rPr>
                <w:rFonts w:ascii="Arial" w:cs="Arial" w:eastAsia="Arial" w:hAnsi="Arial"/>
                <w:b w:val="false"/>
                <w:bCs w:val="false"/>
                <w:sz w:val="18"/>
                <w:szCs w:val="18"/>
              </w:rPr>
              <w:t xml:space="preserve">System + Client review</w:t>
            </w:r>
          </w:p>
        </w:tc>
        <w:tc>
          <w:p>
            <w:r>
              <w:rPr>
                <w:rFonts w:ascii="Arial" w:cs="Arial" w:eastAsia="Arial" w:hAnsi="Arial"/>
                <w:b w:val="false"/>
                <w:bCs w:val="false"/>
                <w:sz w:val="18"/>
                <w:szCs w:val="18"/>
              </w:rPr>
              <w:t xml:space="preserve">30 days</w:t>
            </w:r>
          </w:p>
        </w:tc>
      </w:tr>
      <w:tr>
        <w:tc>
          <w:p>
            <w:r>
              <w:rPr>
                <w:rFonts w:ascii="Arial" w:cs="Arial" w:eastAsia="Arial" w:hAnsi="Arial"/>
                <w:b w:val="false"/>
                <w:bCs w:val="false"/>
                <w:sz w:val="18"/>
                <w:szCs w:val="18"/>
              </w:rPr>
              <w:t xml:space="preserve">5</w:t>
            </w:r>
          </w:p>
        </w:tc>
        <w:tc>
          <w:p>
            <w:r>
              <w:rPr>
                <w:rFonts w:ascii="Arial" w:cs="Arial" w:eastAsia="Arial" w:hAnsi="Arial"/>
                <w:b w:val="false"/>
                <w:bCs w:val="false"/>
                <w:sz w:val="18"/>
                <w:szCs w:val="18"/>
              </w:rPr>
              <w:t xml:space="preserve">Go-live report — projected automation rate, accuracy</w:t>
            </w:r>
          </w:p>
        </w:tc>
        <w:tc>
          <w:p>
            <w:r>
              <w:rPr>
                <w:rFonts w:ascii="Arial" w:cs="Arial" w:eastAsia="Arial" w:hAnsi="Arial"/>
                <w:b w:val="false"/>
                <w:bCs w:val="false"/>
                <w:sz w:val="18"/>
                <w:szCs w:val="18"/>
              </w:rPr>
              <w:t xml:space="preserve">FCS</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6</w:t>
            </w:r>
          </w:p>
        </w:tc>
        <w:tc>
          <w:p>
            <w:r>
              <w:rPr>
                <w:rFonts w:ascii="Arial" w:cs="Arial" w:eastAsia="Arial" w:hAnsi="Arial"/>
                <w:b w:val="false"/>
                <w:bCs w:val="false"/>
                <w:sz w:val="18"/>
                <w:szCs w:val="18"/>
              </w:rPr>
              <w:t xml:space="preserve">Go-live — switch to live mode, AP clerk training</w:t>
            </w:r>
          </w:p>
        </w:tc>
        <w:tc>
          <w:p>
            <w:r>
              <w:rPr>
                <w:rFonts w:ascii="Arial" w:cs="Arial" w:eastAsia="Arial" w:hAnsi="Arial"/>
                <w:b w:val="false"/>
                <w:bCs w:val="false"/>
                <w:sz w:val="18"/>
                <w:szCs w:val="18"/>
              </w:rPr>
              <w:t xml:space="preserve">FCS + Client</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7</w:t>
            </w:r>
          </w:p>
        </w:tc>
        <w:tc>
          <w:p>
            <w:r>
              <w:rPr>
                <w:rFonts w:ascii="Arial" w:cs="Arial" w:eastAsia="Arial" w:hAnsi="Arial"/>
                <w:b w:val="false"/>
                <w:bCs w:val="false"/>
                <w:sz w:val="18"/>
                <w:szCs w:val="18"/>
              </w:rPr>
              <w:t xml:space="preserve">Hypercare — 2 weeks of close monitoring post go-live</w:t>
            </w:r>
          </w:p>
        </w:tc>
        <w:tc>
          <w:p>
            <w:r>
              <w:rPr>
                <w:rFonts w:ascii="Arial" w:cs="Arial" w:eastAsia="Arial" w:hAnsi="Arial"/>
                <w:b w:val="false"/>
                <w:bCs w:val="false"/>
                <w:sz w:val="18"/>
                <w:szCs w:val="18"/>
              </w:rPr>
              <w:t xml:space="preserve">FCS</w:t>
            </w:r>
          </w:p>
        </w:tc>
        <w:tc>
          <w:p>
            <w:r>
              <w:rPr>
                <w:rFonts w:ascii="Arial" w:cs="Arial" w:eastAsia="Arial" w:hAnsi="Arial"/>
                <w:b w:val="false"/>
                <w:bCs w:val="false"/>
                <w:sz w:val="18"/>
                <w:szCs w:val="18"/>
              </w:rPr>
              <w:t xml:space="preserve">2 weeks</w:t>
            </w:r>
          </w:p>
        </w:tc>
      </w:tr>
    </w:tbl>
    <w:p/>
    <w:p>
      <w:pPr>
        <w:pStyle w:val="Heading1"/>
      </w:pPr>
      <w:r>
        <w:t xml:space="preserve">2. Phase 1 — Discovery</w:t>
      </w:r>
    </w:p>
    <w:p/>
    <w:p>
      <w:pPr>
        <w:pStyle w:val="Heading2"/>
      </w:pPr>
      <w:r>
        <w:t xml:space="preserve">2.1 Data Audit</w:t>
      </w:r>
    </w:p>
    <w:p>
      <w:pPr>
        <w:pStyle w:val="ListParagraph"/>
        <w:numPr>
          <w:ilvl w:val="0"/>
          <w:numId w:val="2"/>
        </w:numPr>
        <w:spacing w:after="60"/>
      </w:pPr>
      <w:r>
        <w:t xml:space="preserve">How many invoices per month? (non-PO specifically)</w:t>
      </w:r>
    </w:p>
    <w:p>
      <w:pPr>
        <w:pStyle w:val="ListParagraph"/>
        <w:numPr>
          <w:ilvl w:val="0"/>
          <w:numId w:val="2"/>
        </w:numPr>
        <w:spacing w:after="60"/>
      </w:pPr>
      <w:r>
        <w:t xml:space="preserve">How many unique vendors appear regularly? (top 20 cover what % of volume?)</w:t>
      </w:r>
    </w:p>
    <w:p>
      <w:pPr>
        <w:pStyle w:val="ListParagraph"/>
        <w:numPr>
          <w:ilvl w:val="0"/>
          <w:numId w:val="2"/>
        </w:numPr>
        <w:spacing w:after="60"/>
      </w:pPr>
      <w:r>
        <w:t xml:space="preserve">How many GL codes are in the active chart of accounts?</w:t>
      </w:r>
    </w:p>
    <w:p>
      <w:pPr>
        <w:pStyle w:val="ListParagraph"/>
        <w:numPr>
          <w:ilvl w:val="0"/>
          <w:numId w:val="2"/>
        </w:numPr>
        <w:spacing w:after="60"/>
      </w:pPr>
      <w:r>
        <w:t xml:space="preserve">What is the current coding accuracy? (do clerks ever correct ERP postings?)</w:t>
      </w:r>
    </w:p>
    <w:p>
      <w:pPr>
        <w:pStyle w:val="ListParagraph"/>
        <w:numPr>
          <w:ilvl w:val="0"/>
          <w:numId w:val="2"/>
        </w:numPr>
        <w:spacing w:after="60"/>
      </w:pPr>
      <w:r>
        <w:t xml:space="preserve">Are there coding policies documented? (rules that override normal GL assignment)</w:t>
      </w:r>
    </w:p>
    <w:p>
      <w:pPr>
        <w:pStyle w:val="ListParagraph"/>
        <w:numPr>
          <w:ilvl w:val="0"/>
          <w:numId w:val="2"/>
        </w:numPr>
        <w:spacing w:after="60"/>
      </w:pPr>
      <w:r>
        <w:t xml:space="preserve">What is the average time per invoice for manual coding?</w:t>
      </w:r>
    </w:p>
    <w:p/>
    <w:p>
      <w:pPr>
        <w:pStyle w:val="Heading2"/>
      </w:pPr>
      <w:r>
        <w:t xml:space="preserve">2.2 ERP Access</w:t>
      </w:r>
    </w:p>
    <w:p>
      <w:pPr>
        <w:pStyle w:val="ListParagraph"/>
        <w:numPr>
          <w:ilvl w:val="0"/>
          <w:numId w:val="2"/>
        </w:numPr>
        <w:spacing w:after="60"/>
      </w:pPr>
      <w:r>
        <w:t xml:space="preserve">Confirm ERP type and version — iplicit, NetSuite, Sage, Xero, SAP, other</w:t>
      </w:r>
    </w:p>
    <w:p>
      <w:pPr>
        <w:pStyle w:val="ListParagraph"/>
        <w:numPr>
          <w:ilvl w:val="0"/>
          <w:numId w:val="2"/>
        </w:numPr>
        <w:spacing w:after="60"/>
      </w:pPr>
      <w:r>
        <w:t xml:space="preserve">Identify API credentials scope required — read invoices, post invoices, read chart of accounts</w:t>
      </w:r>
    </w:p>
    <w:p>
      <w:pPr>
        <w:pStyle w:val="ListParagraph"/>
        <w:numPr>
          <w:ilvl w:val="0"/>
          <w:numId w:val="2"/>
        </w:numPr>
        <w:spacing w:after="60"/>
      </w:pPr>
      <w:r>
        <w:t xml:space="preserve">Test API connectivity from FCS infrastructure — confirm no firewall issues</w:t>
      </w:r>
    </w:p>
    <w:p>
      <w:pPr>
        <w:pStyle w:val="ListParagraph"/>
        <w:numPr>
          <w:ilvl w:val="0"/>
          <w:numId w:val="2"/>
        </w:numPr>
        <w:spacing w:after="60"/>
      </w:pPr>
      <w:r>
        <w:t xml:space="preserve">Confirm invoice posting format — field mapping to AP Automation payload schema</w:t>
      </w:r>
    </w:p>
    <w:p>
      <w:pPr>
        <w:pStyle w:val="ListParagraph"/>
        <w:numPr>
          <w:ilvl w:val="0"/>
          <w:numId w:val="2"/>
        </w:numPr>
        <w:spacing w:after="60"/>
      </w:pPr>
      <w:r>
        <w:t xml:space="preserve">Identify ERP approvals workflow — does any invoice require ERP-side approval before posting?</w:t>
      </w:r>
    </w:p>
    <w:p/>
    <w:p>
      <w:pPr>
        <w:pStyle w:val="Heading2"/>
      </w:pPr>
      <w:r>
        <w:t xml:space="preserve">2.3 Chart of Accounts</w:t>
      </w:r>
    </w:p>
    <w:p>
      <w:pPr>
        <w:pStyle w:val="ListParagraph"/>
        <w:numPr>
          <w:ilvl w:val="0"/>
          <w:numId w:val="2"/>
        </w:numPr>
        <w:spacing w:after="60"/>
      </w:pPr>
      <w:r>
        <w:t xml:space="preserve">Export full chart of accounts — GL code, description, account type, is_active</w:t>
      </w:r>
    </w:p>
    <w:p>
      <w:pPr>
        <w:pStyle w:val="ListParagraph"/>
        <w:numPr>
          <w:ilvl w:val="0"/>
          <w:numId w:val="2"/>
        </w:numPr>
        <w:spacing w:after="60"/>
      </w:pPr>
      <w:r>
        <w:t xml:space="preserve">Identify codes used for non-PO invoices specifically</w:t>
      </w:r>
    </w:p>
    <w:p>
      <w:pPr>
        <w:pStyle w:val="ListParagraph"/>
        <w:numPr>
          <w:ilvl w:val="0"/>
          <w:numId w:val="2"/>
        </w:numPr>
        <w:spacing w:after="60"/>
      </w:pPr>
      <w:r>
        <w:t xml:space="preserve">Flag any deprecated codes — these should not appear in corpus</w:t>
      </w:r>
    </w:p>
    <w:p>
      <w:pPr>
        <w:pStyle w:val="ListParagraph"/>
        <w:numPr>
          <w:ilvl w:val="0"/>
          <w:numId w:val="2"/>
        </w:numPr>
        <w:spacing w:after="60"/>
      </w:pPr>
      <w:r>
        <w:t xml:space="preserve">Confirm cost centre list and mapping to GL codes where fixed</w:t>
      </w:r>
    </w:p>
    <w:p/>
    <w:p>
      <w:pPr>
        <w:pStyle w:val="Heading1"/>
      </w:pPr>
      <w:r>
        <w:t xml:space="preserve">3. Phase 2 — Historical Data Extract</w:t>
      </w:r>
    </w:p>
    <w:p/>
    <w:p>
      <w:pPr>
        <w:pStyle w:val="Heading2"/>
      </w:pPr>
      <w:r>
        <w:t xml:space="preserve">3.1 Extract Specification</w:t>
      </w:r>
    </w:p>
    <w:p>
      <w:r>
        <w:rPr>
          <w:rFonts w:ascii="Arial" w:cs="Arial" w:eastAsia="Arial" w:hAnsi="Arial"/>
          <w:sz w:val="20"/>
          <w:szCs w:val="20"/>
        </w:rPr>
        <w:t xml:space="preserve">Request the following from the client AP team — minimum 12 months, ideally 24 months of confirmed invoice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rPr>
          <w:tblHeader/>
        </w:trPr>
        <w:tc>
          <w:tcPr>
            <w:tcW w:type="dxa" w:w="2500"/>
            <w:shd w:color="E2E8F0" w:val="clear"/>
          </w:tcPr>
          <w:p>
            <w:r>
              <w:rPr>
                <w:rFonts w:ascii="Arial" w:cs="Arial" w:eastAsia="Arial" w:hAnsi="Arial"/>
                <w:b/>
                <w:bCs/>
                <w:sz w:val="18"/>
                <w:szCs w:val="18"/>
              </w:rPr>
              <w:t xml:space="preserve">Field</w:t>
            </w:r>
          </w:p>
        </w:tc>
        <w:tc>
          <w:tcPr>
            <w:tcW w:type="dxa" w:w="2000"/>
            <w:shd w:color="E2E8F0" w:val="clear"/>
          </w:tcPr>
          <w:p>
            <w:r>
              <w:rPr>
                <w:rFonts w:ascii="Arial" w:cs="Arial" w:eastAsia="Arial" w:hAnsi="Arial"/>
                <w:b/>
                <w:bCs/>
                <w:sz w:val="18"/>
                <w:szCs w:val="18"/>
              </w:rPr>
              <w:t xml:space="preserve">Format</w:t>
            </w:r>
          </w:p>
        </w:tc>
        <w:tc>
          <w:tcPr>
            <w:tcW w:type="dxa" w:w="1200"/>
            <w:shd w:color="E2E8F0" w:val="clear"/>
          </w:tcPr>
          <w:p>
            <w:r>
              <w:rPr>
                <w:rFonts w:ascii="Arial" w:cs="Arial" w:eastAsia="Arial" w:hAnsi="Arial"/>
                <w:b/>
                <w:bCs/>
                <w:sz w:val="18"/>
                <w:szCs w:val="18"/>
              </w:rPr>
              <w:t xml:space="preserve">Required</w:t>
            </w:r>
          </w:p>
        </w:tc>
        <w:tc>
          <w:tcPr>
            <w:tcW w:type="dxa" w:w="3660"/>
            <w:shd w:color="E2E8F0" w:val="clear"/>
          </w:tcPr>
          <w:p>
            <w:r>
              <w:rPr>
                <w:rFonts w:ascii="Arial" w:cs="Arial" w:eastAsia="Arial" w:hAnsi="Arial"/>
                <w:b/>
                <w:bCs/>
                <w:sz w:val="18"/>
                <w:szCs w:val="18"/>
              </w:rPr>
              <w:t xml:space="preserve">Notes</w:t>
            </w:r>
          </w:p>
        </w:tc>
      </w:tr>
      <w:tr>
        <w:tc>
          <w:p>
            <w:r>
              <w:rPr>
                <w:rFonts w:ascii="Arial" w:cs="Arial" w:eastAsia="Arial" w:hAnsi="Arial"/>
                <w:b w:val="false"/>
                <w:bCs w:val="false"/>
                <w:sz w:val="18"/>
                <w:szCs w:val="18"/>
              </w:rPr>
              <w:t xml:space="preserve">invoice_id</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Any unique reference</w:t>
            </w:r>
          </w:p>
        </w:tc>
      </w:tr>
      <w:tr>
        <w:tc>
          <w:p>
            <w:r>
              <w:rPr>
                <w:rFonts w:ascii="Arial" w:cs="Arial" w:eastAsia="Arial" w:hAnsi="Arial"/>
                <w:b w:val="false"/>
                <w:bCs w:val="false"/>
                <w:sz w:val="18"/>
                <w:szCs w:val="18"/>
              </w:rPr>
              <w:t xml:space="preserve">raw_vendor_name</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Exactly as it appears on invoice</w:t>
            </w:r>
          </w:p>
        </w:tc>
      </w:tr>
      <w:tr>
        <w:tc>
          <w:p>
            <w:r>
              <w:rPr>
                <w:rFonts w:ascii="Arial" w:cs="Arial" w:eastAsia="Arial" w:hAnsi="Arial"/>
                <w:b w:val="false"/>
                <w:bCs w:val="false"/>
                <w:sz w:val="18"/>
                <w:szCs w:val="18"/>
              </w:rPr>
              <w:t xml:space="preserve">description</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Invoice line description — not header</w:t>
            </w:r>
          </w:p>
        </w:tc>
      </w:tr>
      <w:tr>
        <w:tc>
          <w:p>
            <w:r>
              <w:rPr>
                <w:rFonts w:ascii="Arial" w:cs="Arial" w:eastAsia="Arial" w:hAnsi="Arial"/>
                <w:b w:val="false"/>
                <w:bCs w:val="false"/>
                <w:sz w:val="18"/>
                <w:szCs w:val="18"/>
              </w:rPr>
              <w:t xml:space="preserve">amount</w:t>
            </w:r>
          </w:p>
        </w:tc>
        <w:tc>
          <w:p>
            <w:r>
              <w:rPr>
                <w:rFonts w:ascii="Arial" w:cs="Arial" w:eastAsia="Arial" w:hAnsi="Arial"/>
                <w:b w:val="false"/>
                <w:bCs w:val="false"/>
                <w:sz w:val="18"/>
                <w:szCs w:val="18"/>
              </w:rPr>
              <w:t xml:space="preserve">Decimal</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Line amount excluding VAT</w:t>
            </w:r>
          </w:p>
        </w:tc>
      </w:tr>
      <w:tr>
        <w:tc>
          <w:p>
            <w:r>
              <w:rPr>
                <w:rFonts w:ascii="Arial" w:cs="Arial" w:eastAsia="Arial" w:hAnsi="Arial"/>
                <w:b w:val="false"/>
                <w:bCs w:val="false"/>
                <w:sz w:val="18"/>
                <w:szCs w:val="18"/>
              </w:rPr>
              <w:t xml:space="preserve">currency</w:t>
            </w:r>
          </w:p>
        </w:tc>
        <w:tc>
          <w:p>
            <w:r>
              <w:rPr>
                <w:rFonts w:ascii="Arial" w:cs="Arial" w:eastAsia="Arial" w:hAnsi="Arial"/>
                <w:b w:val="false"/>
                <w:bCs w:val="false"/>
                <w:sz w:val="18"/>
                <w:szCs w:val="18"/>
              </w:rPr>
              <w:t xml:space="preserve">ISO 4217</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GBP, EUR, USD etc.</w:t>
            </w:r>
          </w:p>
        </w:tc>
      </w:tr>
      <w:tr>
        <w:tc>
          <w:p>
            <w:r>
              <w:rPr>
                <w:rFonts w:ascii="Arial" w:cs="Arial" w:eastAsia="Arial" w:hAnsi="Arial"/>
                <w:b w:val="false"/>
                <w:bCs w:val="false"/>
                <w:sz w:val="18"/>
                <w:szCs w:val="18"/>
              </w:rPr>
              <w:t xml:space="preserve">gl_account</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Confirmed GL code — must be from active COA</w:t>
            </w:r>
          </w:p>
        </w:tc>
      </w:tr>
      <w:tr>
        <w:tc>
          <w:p>
            <w:r>
              <w:rPr>
                <w:rFonts w:ascii="Arial" w:cs="Arial" w:eastAsia="Arial" w:hAnsi="Arial"/>
                <w:b w:val="false"/>
                <w:bCs w:val="false"/>
                <w:sz w:val="18"/>
                <w:szCs w:val="18"/>
              </w:rPr>
              <w:t xml:space="preserve">cost_centre</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Cost centre if applicable</w:t>
            </w:r>
          </w:p>
        </w:tc>
      </w:tr>
      <w:tr>
        <w:tc>
          <w:p>
            <w:r>
              <w:rPr>
                <w:rFonts w:ascii="Arial" w:cs="Arial" w:eastAsia="Arial" w:hAnsi="Arial"/>
                <w:b w:val="false"/>
                <w:bCs w:val="false"/>
                <w:sz w:val="18"/>
                <w:szCs w:val="18"/>
              </w:rPr>
              <w:t xml:space="preserve">entity_id</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Legal entity if multi-entity</w:t>
            </w:r>
          </w:p>
        </w:tc>
      </w:tr>
      <w:tr>
        <w:tc>
          <w:p>
            <w:r>
              <w:rPr>
                <w:rFonts w:ascii="Arial" w:cs="Arial" w:eastAsia="Arial" w:hAnsi="Arial"/>
                <w:b w:val="false"/>
                <w:bCs w:val="false"/>
                <w:sz w:val="18"/>
                <w:szCs w:val="18"/>
              </w:rPr>
              <w:t xml:space="preserve">confirmed_date</w:t>
            </w:r>
          </w:p>
        </w:tc>
        <w:tc>
          <w:p>
            <w:r>
              <w:rPr>
                <w:rFonts w:ascii="Arial" w:cs="Arial" w:eastAsia="Arial" w:hAnsi="Arial"/>
                <w:b w:val="false"/>
                <w:bCs w:val="false"/>
                <w:sz w:val="18"/>
                <w:szCs w:val="18"/>
              </w:rPr>
              <w:t xml:space="preserve">ISO 8601</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Date invoice was confirmed/posted</w:t>
            </w:r>
          </w:p>
        </w:tc>
      </w:tr>
      <w:tr>
        <w:tc>
          <w:p>
            <w:r>
              <w:rPr>
                <w:rFonts w:ascii="Arial" w:cs="Arial" w:eastAsia="Arial" w:hAnsi="Arial"/>
                <w:b w:val="false"/>
                <w:bCs w:val="false"/>
                <w:sz w:val="18"/>
                <w:szCs w:val="18"/>
              </w:rPr>
              <w:t xml:space="preserve">confirmed_by</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User who confirmed — for source weighting</w:t>
            </w:r>
          </w:p>
        </w:tc>
      </w:tr>
    </w:tbl>
    <w:p/>
    <w:p>
      <w:pPr>
        <w:pStyle w:val="Heading2"/>
      </w:pPr>
      <w:r>
        <w:t xml:space="preserve">3.2 Delivery Format</w:t>
      </w:r>
    </w:p>
    <w:p>
      <w:pPr>
        <w:pStyle w:val="ListParagraph"/>
        <w:numPr>
          <w:ilvl w:val="0"/>
          <w:numId w:val="2"/>
        </w:numPr>
        <w:spacing w:after="60"/>
      </w:pPr>
      <w:r>
        <w:t xml:space="preserve">CSV or Excel — one row per invoice line (not per invoice header)</w:t>
      </w:r>
    </w:p>
    <w:p>
      <w:pPr>
        <w:pStyle w:val="ListParagraph"/>
        <w:numPr>
          <w:ilvl w:val="0"/>
          <w:numId w:val="2"/>
        </w:numPr>
        <w:spacing w:after="60"/>
      </w:pPr>
      <w:r>
        <w:t xml:space="preserve">Encoding: UTF-8</w:t>
      </w:r>
    </w:p>
    <w:p>
      <w:pPr>
        <w:pStyle w:val="ListParagraph"/>
        <w:numPr>
          <w:ilvl w:val="0"/>
          <w:numId w:val="2"/>
        </w:numPr>
        <w:spacing w:after="60"/>
      </w:pPr>
      <w:r>
        <w:t xml:space="preserve">Delivered via secure file share (SFTP or encrypted email) — not plain email attachment</w:t>
      </w:r>
    </w:p>
    <w:p>
      <w:pPr>
        <w:pStyle w:val="ListParagraph"/>
        <w:numPr>
          <w:ilvl w:val="0"/>
          <w:numId w:val="2"/>
        </w:numPr>
        <w:spacing w:after="60"/>
      </w:pPr>
      <w:r>
        <w:t xml:space="preserve">PII guidance: vendor names and descriptions may be included — governed by DPA/NDA</w:t>
      </w:r>
    </w:p>
    <w:p/>
    <w:p>
      <w:pPr>
        <w:pStyle w:val="Heading2"/>
      </w:pPr>
      <w:r>
        <w:t xml:space="preserve">3.3 Minimum Data Requirements</w:t>
      </w:r>
    </w:p>
    <w:p>
      <w:pPr>
        <w:pStyle w:val="ListParagraph"/>
        <w:numPr>
          <w:ilvl w:val="0"/>
          <w:numId w:val="2"/>
        </w:numPr>
        <w:spacing w:after="60"/>
      </w:pPr>
      <w:r>
        <w:t xml:space="preserve">Minimum 500 confirmed invoice lines to begin seeding</w:t>
      </w:r>
    </w:p>
    <w:p>
      <w:pPr>
        <w:pStyle w:val="ListParagraph"/>
        <w:numPr>
          <w:ilvl w:val="0"/>
          <w:numId w:val="2"/>
        </w:numPr>
        <w:spacing w:after="60"/>
      </w:pPr>
      <w:r>
        <w:t xml:space="preserve">Ideally 50+ lines per active vendor for reliable predictions</w:t>
      </w:r>
    </w:p>
    <w:p>
      <w:pPr>
        <w:pStyle w:val="ListParagraph"/>
        <w:numPr>
          <w:ilvl w:val="0"/>
          <w:numId w:val="2"/>
        </w:numPr>
        <w:spacing w:after="60"/>
      </w:pPr>
      <w:r>
        <w:t xml:space="preserve">If a vendor has &lt;10 lines, it will be treated as near-cold-start initially</w:t>
      </w:r>
    </w:p>
    <w:p>
      <w:pPr>
        <w:pStyle w:val="ListParagraph"/>
        <w:numPr>
          <w:ilvl w:val="0"/>
          <w:numId w:val="2"/>
        </w:numPr>
        <w:spacing w:after="60"/>
      </w:pPr>
      <w:r>
        <w:t xml:space="preserve">Vendors with 0 lines will be cold-start until first confirmation</w:t>
      </w:r>
    </w:p>
    <w:p/>
    <w:p>
      <w:pPr>
        <w:pStyle w:val="Heading1"/>
      </w:pPr>
      <w:r>
        <w:t xml:space="preserve">4. Phase 3 — Corpus Seeding</w:t>
      </w:r>
    </w:p>
    <w:p/>
    <w:p>
      <w:pPr>
        <w:pStyle w:val="Heading2"/>
      </w:pPr>
      <w:r>
        <w:t xml:space="preserve">4.1 Validation</w:t>
      </w:r>
    </w:p>
    <w:p>
      <w:pPr>
        <w:pStyle w:val="ListParagraph"/>
        <w:numPr>
          <w:ilvl w:val="0"/>
          <w:numId w:val="2"/>
        </w:numPr>
        <w:spacing w:after="60"/>
      </w:pPr>
      <w:r>
        <w:t xml:space="preserve">Validate all GL codes against active chart of accounts — flag invalid codes</w:t>
      </w:r>
    </w:p>
    <w:p>
      <w:pPr>
        <w:pStyle w:val="ListParagraph"/>
        <w:numPr>
          <w:ilvl w:val="0"/>
          <w:numId w:val="2"/>
        </w:numPr>
        <w:spacing w:after="60"/>
      </w:pPr>
      <w:r>
        <w:t xml:space="preserve">Flag invoices with description shorter than 3 words — likely noise</w:t>
      </w:r>
    </w:p>
    <w:p>
      <w:pPr>
        <w:pStyle w:val="ListParagraph"/>
        <w:numPr>
          <w:ilvl w:val="0"/>
          <w:numId w:val="2"/>
        </w:numPr>
        <w:spacing w:after="60"/>
      </w:pPr>
      <w:r>
        <w:t xml:space="preserve">Detect duplicate description + vendor + amount combinations — confirm intentional or error</w:t>
      </w:r>
    </w:p>
    <w:p>
      <w:pPr>
        <w:pStyle w:val="ListParagraph"/>
        <w:numPr>
          <w:ilvl w:val="0"/>
          <w:numId w:val="2"/>
        </w:numPr>
        <w:spacing w:after="60"/>
      </w:pPr>
      <w:r>
        <w:t xml:space="preserve">Check vendor name distribution — identify aliases (LearnForward Ltd vs Learn Forward Training)</w:t>
      </w:r>
    </w:p>
    <w:p>
      <w:pPr>
        <w:pStyle w:val="ListParagraph"/>
        <w:numPr>
          <w:ilvl w:val="0"/>
          <w:numId w:val="2"/>
        </w:numPr>
        <w:spacing w:after="60"/>
      </w:pPr>
      <w:r>
        <w:t xml:space="preserve">Generate vendor map: raw_name -&gt; canonical_id — review with client AP manager</w:t>
      </w:r>
    </w:p>
    <w:p/>
    <w:p>
      <w:pPr>
        <w:pStyle w:val="Heading2"/>
      </w:pPr>
      <w:r>
        <w:t xml:space="preserve">4.2 Cleaning</w:t>
      </w:r>
    </w:p>
    <w:p>
      <w:pPr>
        <w:pStyle w:val="ListParagraph"/>
        <w:numPr>
          <w:ilvl w:val="0"/>
          <w:numId w:val="2"/>
        </w:numPr>
        <w:spacing w:after="60"/>
      </w:pPr>
      <w:r>
        <w:t xml:space="preserve">Strip leading/trailing reference numbers and dates from descriptions</w:t>
      </w:r>
    </w:p>
    <w:p>
      <w:pPr>
        <w:pStyle w:val="ListParagraph"/>
        <w:numPr>
          <w:ilvl w:val="0"/>
          <w:numId w:val="2"/>
        </w:numPr>
        <w:spacing w:after="60"/>
      </w:pPr>
      <w:r>
        <w:t xml:space="preserve">Normalise currency symbols, decimal separators</w:t>
      </w:r>
    </w:p>
    <w:p>
      <w:pPr>
        <w:pStyle w:val="ListParagraph"/>
        <w:numPr>
          <w:ilvl w:val="0"/>
          <w:numId w:val="2"/>
        </w:numPr>
        <w:spacing w:after="60"/>
      </w:pPr>
      <w:r>
        <w:t xml:space="preserve">Remove rows where gl_account is blank or invalid</w:t>
      </w:r>
    </w:p>
    <w:p>
      <w:pPr>
        <w:pStyle w:val="ListParagraph"/>
        <w:numPr>
          <w:ilvl w:val="0"/>
          <w:numId w:val="2"/>
        </w:numPr>
        <w:spacing w:after="60"/>
      </w:pPr>
      <w:r>
        <w:t xml:space="preserve">Flag and quarantine any rows where gl_account is a balance sheet code — AP should be P&amp;L only</w:t>
      </w:r>
    </w:p>
    <w:p/>
    <w:p>
      <w:pPr>
        <w:pStyle w:val="Heading2"/>
      </w:pPr>
      <w:r>
        <w:t xml:space="preserve">4.3 Indexing</w:t>
      </w:r>
    </w:p>
    <w:p>
      <w:pPr>
        <w:pStyle w:val="ListParagraph"/>
        <w:numPr>
          <w:ilvl w:val="0"/>
          <w:numId w:val="2"/>
        </w:numPr>
        <w:spacing w:after="60"/>
      </w:pPr>
      <w:r>
        <w:t xml:space="preserve">Embed all descriptions via OpenAI text-embedding-3-small — batch of 1,000</w:t>
      </w:r>
    </w:p>
    <w:p>
      <w:pPr>
        <w:pStyle w:val="ListParagraph"/>
        <w:numPr>
          <w:ilvl w:val="0"/>
          <w:numId w:val="2"/>
        </w:numPr>
        <w:spacing w:after="60"/>
      </w:pPr>
      <w:r>
        <w:t xml:space="preserve">Index to client tenant Qdrant collection — with all metadata fields</w:t>
      </w:r>
    </w:p>
    <w:p>
      <w:pPr>
        <w:pStyle w:val="ListParagraph"/>
        <w:numPr>
          <w:ilvl w:val="0"/>
          <w:numId w:val="2"/>
        </w:numPr>
        <w:spacing w:after="60"/>
      </w:pPr>
      <w:r>
        <w:t xml:space="preserve">Confirm collection point count matches expected row count after indexing</w:t>
      </w:r>
    </w:p>
    <w:p>
      <w:pPr>
        <w:pStyle w:val="ListParagraph"/>
        <w:numPr>
          <w:ilvl w:val="0"/>
          <w:numId w:val="2"/>
        </w:numPr>
        <w:spacing w:after="60"/>
      </w:pPr>
      <w:r>
        <w:t xml:space="preserve">Run a test prediction on 10 known invoices — verify correct GL predicted</w:t>
      </w:r>
    </w:p>
    <w:p>
      <w:pPr>
        <w:pStyle w:val="ListParagraph"/>
        <w:numPr>
          <w:ilvl w:val="0"/>
          <w:numId w:val="2"/>
        </w:numPr>
        <w:spacing w:after="60"/>
      </w:pPr>
      <w:r>
        <w:t xml:space="preserve">Share test prediction results with client AP manager for sign-off before shadow mode</w:t>
      </w:r>
    </w:p>
    <w:p/>
    <w:p>
      <w:pPr>
        <w:pStyle w:val="Heading2"/>
      </w:pPr>
      <w:r>
        <w:t xml:space="preserve">4.4 Expected Corpus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color="E2E8F0" w:val="clear"/>
          </w:tcPr>
          <w:p>
            <w:r>
              <w:rPr>
                <w:rFonts w:ascii="Arial" w:cs="Arial" w:eastAsia="Arial" w:hAnsi="Arial"/>
                <w:b/>
                <w:bCs/>
                <w:sz w:val="18"/>
                <w:szCs w:val="18"/>
              </w:rPr>
              <w:t xml:space="preserve">Lines per vendor</w:t>
            </w:r>
          </w:p>
        </w:tc>
        <w:tc>
          <w:tcPr>
            <w:tcW w:type="dxa" w:w="2500"/>
            <w:shd w:color="E2E8F0" w:val="clear"/>
          </w:tcPr>
          <w:p>
            <w:r>
              <w:rPr>
                <w:rFonts w:ascii="Arial" w:cs="Arial" w:eastAsia="Arial" w:hAnsi="Arial"/>
                <w:b/>
                <w:bCs/>
                <w:sz w:val="18"/>
                <w:szCs w:val="18"/>
              </w:rPr>
              <w:t xml:space="preserve">Expected confidence</w:t>
            </w:r>
          </w:p>
        </w:tc>
        <w:tc>
          <w:tcPr>
            <w:tcW w:type="dxa" w:w="4360"/>
            <w:shd w:color="E2E8F0" w:val="clear"/>
          </w:tcPr>
          <w:p>
            <w:r>
              <w:rPr>
                <w:rFonts w:ascii="Arial" w:cs="Arial" w:eastAsia="Arial" w:hAnsi="Arial"/>
                <w:b/>
                <w:bCs/>
                <w:sz w:val="18"/>
                <w:szCs w:val="18"/>
              </w:rPr>
              <w:t xml:space="preserve">Likely outcome</w:t>
            </w:r>
          </w:p>
        </w:tc>
      </w:tr>
      <w:tr>
        <w:tc>
          <w:p>
            <w:r>
              <w:rPr>
                <w:rFonts w:ascii="Arial" w:cs="Arial" w:eastAsia="Arial" w:hAnsi="Arial"/>
                <w:b w:val="false"/>
                <w:bCs w:val="false"/>
                <w:sz w:val="18"/>
                <w:szCs w:val="18"/>
              </w:rPr>
              <w:t xml:space="preserve">0</w:t>
            </w:r>
          </w:p>
        </w:tc>
        <w:tc>
          <w:p>
            <w:r>
              <w:rPr>
                <w:rFonts w:ascii="Arial" w:cs="Arial" w:eastAsia="Arial" w:hAnsi="Arial"/>
                <w:b w:val="false"/>
                <w:bCs w:val="false"/>
                <w:sz w:val="18"/>
                <w:szCs w:val="18"/>
              </w:rPr>
              <w:t xml:space="preserve">N/A</w:t>
            </w:r>
          </w:p>
        </w:tc>
        <w:tc>
          <w:p>
            <w:r>
              <w:rPr>
                <w:rFonts w:ascii="Arial" w:cs="Arial" w:eastAsia="Arial" w:hAnsi="Arial"/>
                <w:b w:val="false"/>
                <w:bCs w:val="false"/>
                <w:sz w:val="18"/>
                <w:szCs w:val="18"/>
              </w:rPr>
              <w:t xml:space="preserve">Cold start — always human review</w:t>
            </w:r>
          </w:p>
        </w:tc>
      </w:tr>
      <w:tr>
        <w:tc>
          <w:p>
            <w:r>
              <w:rPr>
                <w:rFonts w:ascii="Arial" w:cs="Arial" w:eastAsia="Arial" w:hAnsi="Arial"/>
                <w:b w:val="false"/>
                <w:bCs w:val="false"/>
                <w:sz w:val="18"/>
                <w:szCs w:val="18"/>
              </w:rPr>
              <w:t xml:space="preserve">1-9</w:t>
            </w:r>
          </w:p>
        </w:tc>
        <w:tc>
          <w:p>
            <w:r>
              <w:rPr>
                <w:rFonts w:ascii="Arial" w:cs="Arial" w:eastAsia="Arial" w:hAnsi="Arial"/>
                <w:b w:val="false"/>
                <w:bCs w:val="false"/>
                <w:sz w:val="18"/>
                <w:szCs w:val="18"/>
              </w:rPr>
              <w:t xml:space="preserve">30-50%</w:t>
            </w:r>
          </w:p>
        </w:tc>
        <w:tc>
          <w:p>
            <w:r>
              <w:rPr>
                <w:rFonts w:ascii="Arial" w:cs="Arial" w:eastAsia="Arial" w:hAnsi="Arial"/>
                <w:b w:val="false"/>
                <w:bCs w:val="false"/>
                <w:sz w:val="18"/>
                <w:szCs w:val="18"/>
              </w:rPr>
              <w:t xml:space="preserve">Near cold start — mostly human review</w:t>
            </w:r>
          </w:p>
        </w:tc>
      </w:tr>
      <w:tr>
        <w:tc>
          <w:p>
            <w:r>
              <w:rPr>
                <w:rFonts w:ascii="Arial" w:cs="Arial" w:eastAsia="Arial" w:hAnsi="Arial"/>
                <w:b w:val="false"/>
                <w:bCs w:val="false"/>
                <w:sz w:val="18"/>
                <w:szCs w:val="18"/>
              </w:rPr>
              <w:t xml:space="preserve">10-29</w:t>
            </w:r>
          </w:p>
        </w:tc>
        <w:tc>
          <w:p>
            <w:r>
              <w:rPr>
                <w:rFonts w:ascii="Arial" w:cs="Arial" w:eastAsia="Arial" w:hAnsi="Arial"/>
                <w:b w:val="false"/>
                <w:bCs w:val="false"/>
                <w:sz w:val="18"/>
                <w:szCs w:val="18"/>
              </w:rPr>
              <w:t xml:space="preserve">50-70%</w:t>
            </w:r>
          </w:p>
        </w:tc>
        <w:tc>
          <w:p>
            <w:r>
              <w:rPr>
                <w:rFonts w:ascii="Arial" w:cs="Arial" w:eastAsia="Arial" w:hAnsi="Arial"/>
                <w:b w:val="false"/>
                <w:bCs w:val="false"/>
                <w:sz w:val="18"/>
                <w:szCs w:val="18"/>
              </w:rPr>
              <w:t xml:space="preserve">Some auto-posts — improving quickly</w:t>
            </w:r>
          </w:p>
        </w:tc>
      </w:tr>
      <w:tr>
        <w:tc>
          <w:p>
            <w:r>
              <w:rPr>
                <w:rFonts w:ascii="Arial" w:cs="Arial" w:eastAsia="Arial" w:hAnsi="Arial"/>
                <w:b w:val="false"/>
                <w:bCs w:val="false"/>
                <w:sz w:val="18"/>
                <w:szCs w:val="18"/>
              </w:rPr>
              <w:t xml:space="preserve">30-99</w:t>
            </w:r>
          </w:p>
        </w:tc>
        <w:tc>
          <w:p>
            <w:r>
              <w:rPr>
                <w:rFonts w:ascii="Arial" w:cs="Arial" w:eastAsia="Arial" w:hAnsi="Arial"/>
                <w:b w:val="false"/>
                <w:bCs w:val="false"/>
                <w:sz w:val="18"/>
                <w:szCs w:val="18"/>
              </w:rPr>
              <w:t xml:space="preserve">70-85%</w:t>
            </w:r>
          </w:p>
        </w:tc>
        <w:tc>
          <w:p>
            <w:r>
              <w:rPr>
                <w:rFonts w:ascii="Arial" w:cs="Arial" w:eastAsia="Arial" w:hAnsi="Arial"/>
                <w:b w:val="false"/>
                <w:bCs w:val="false"/>
                <w:sz w:val="18"/>
                <w:szCs w:val="18"/>
              </w:rPr>
              <w:t xml:space="preserve">Strong auto-post rate</w:t>
            </w:r>
          </w:p>
        </w:tc>
      </w:tr>
      <w:tr>
        <w:tc>
          <w:p>
            <w:r>
              <w:rPr>
                <w:rFonts w:ascii="Arial" w:cs="Arial" w:eastAsia="Arial" w:hAnsi="Arial"/>
                <w:b w:val="false"/>
                <w:bCs w:val="false"/>
                <w:sz w:val="18"/>
                <w:szCs w:val="18"/>
              </w:rPr>
              <w:t xml:space="preserve">100+</w:t>
            </w:r>
          </w:p>
        </w:tc>
        <w:tc>
          <w:p>
            <w:r>
              <w:rPr>
                <w:rFonts w:ascii="Arial" w:cs="Arial" w:eastAsia="Arial" w:hAnsi="Arial"/>
                <w:b w:val="false"/>
                <w:bCs w:val="false"/>
                <w:sz w:val="18"/>
                <w:szCs w:val="18"/>
              </w:rPr>
              <w:t xml:space="preserve">85-99%</w:t>
            </w:r>
          </w:p>
        </w:tc>
        <w:tc>
          <w:p>
            <w:r>
              <w:rPr>
                <w:rFonts w:ascii="Arial" w:cs="Arial" w:eastAsia="Arial" w:hAnsi="Arial"/>
                <w:b w:val="false"/>
                <w:bCs w:val="false"/>
                <w:sz w:val="18"/>
                <w:szCs w:val="18"/>
              </w:rPr>
              <w:t xml:space="preserve">Very high auto-post rate</w:t>
            </w:r>
          </w:p>
        </w:tc>
      </w:tr>
    </w:tbl>
    <w:p/>
    <w:p>
      <w:pPr>
        <w:pStyle w:val="Heading1"/>
      </w:pPr>
      <w:r>
        <w:t xml:space="preserve">5. Phase 4 — Shadow Mode (30 Days)</w:t>
      </w:r>
    </w:p>
    <w:p/>
    <w:p>
      <w:r>
        <w:rPr>
          <w:rFonts w:ascii="Arial" w:cs="Arial" w:eastAsia="Arial" w:hAnsi="Arial"/>
          <w:sz w:val="20"/>
          <w:szCs w:val="20"/>
        </w:rPr>
        <w:t xml:space="preserve">In shadow mode, the system predicts GL codes for every new invoice but does not post to the ERP. The client AP team codes invoices manually as normal. Every week, FCS compares system predictions to actual confirmed codes.</w:t>
      </w:r>
    </w:p>
    <w:p/>
    <w:p>
      <w:pPr>
        <w:pStyle w:val="Heading2"/>
      </w:pPr>
      <w:r>
        <w:t xml:space="preserve">5.1 Weekly Shadow Mode Report</w:t>
      </w:r>
    </w:p>
    <w:p>
      <w:pPr>
        <w:pStyle w:val="ListParagraph"/>
        <w:numPr>
          <w:ilvl w:val="0"/>
          <w:numId w:val="2"/>
        </w:numPr>
        <w:spacing w:after="60"/>
      </w:pPr>
      <w:r>
        <w:t xml:space="preserve">Automation rate: what % of invoices would have auto-posted?</w:t>
      </w:r>
    </w:p>
    <w:p>
      <w:pPr>
        <w:pStyle w:val="ListParagraph"/>
        <w:numPr>
          <w:ilvl w:val="0"/>
          <w:numId w:val="2"/>
        </w:numPr>
        <w:spacing w:after="60"/>
      </w:pPr>
      <w:r>
        <w:t xml:space="preserve">Accuracy: what % of predictions matched the clerk actual coding?</w:t>
      </w:r>
    </w:p>
    <w:p>
      <w:pPr>
        <w:pStyle w:val="ListParagraph"/>
        <w:numPr>
          <w:ilvl w:val="0"/>
          <w:numId w:val="2"/>
        </w:numPr>
        <w:spacing w:after="60"/>
      </w:pPr>
      <w:r>
        <w:t xml:space="preserve">False positive rate: what % of would-be auto-posts were wrong?</w:t>
      </w:r>
    </w:p>
    <w:p>
      <w:pPr>
        <w:pStyle w:val="ListParagraph"/>
        <w:numPr>
          <w:ilvl w:val="0"/>
          <w:numId w:val="2"/>
        </w:numPr>
        <w:spacing w:after="60"/>
      </w:pPr>
      <w:r>
        <w:t xml:space="preserve">Cold-start vendors: which vendors had no corpus history?</w:t>
      </w:r>
    </w:p>
    <w:p>
      <w:pPr>
        <w:pStyle w:val="ListParagraph"/>
        <w:numPr>
          <w:ilvl w:val="0"/>
          <w:numId w:val="2"/>
        </w:numPr>
        <w:spacing w:after="60"/>
      </w:pPr>
      <w:r>
        <w:t xml:space="preserve">Near-edge vendors: which vendors are approaching auto-post threshold?</w:t>
      </w:r>
    </w:p>
    <w:p>
      <w:pPr>
        <w:pStyle w:val="ListParagraph"/>
        <w:numPr>
          <w:ilvl w:val="0"/>
          <w:numId w:val="2"/>
        </w:numPr>
        <w:spacing w:after="60"/>
      </w:pPr>
      <w:r>
        <w:t xml:space="preserve">Write-back progress: corpus growth as shadow confirmations are indexed</w:t>
      </w:r>
    </w:p>
    <w:p/>
    <w:p>
      <w:pPr>
        <w:pStyle w:val="Heading2"/>
      </w:pPr>
      <w:r>
        <w:t xml:space="preserve">5.2 Client AP Manager Responsibilities During Shadow Mode</w:t>
      </w:r>
    </w:p>
    <w:p>
      <w:pPr>
        <w:pStyle w:val="ListParagraph"/>
        <w:numPr>
          <w:ilvl w:val="0"/>
          <w:numId w:val="2"/>
        </w:numPr>
        <w:spacing w:after="60"/>
      </w:pPr>
      <w:r>
        <w:t xml:space="preserve">Code invoices as normal — no change to current process</w:t>
      </w:r>
    </w:p>
    <w:p>
      <w:pPr>
        <w:pStyle w:val="ListParagraph"/>
        <w:numPr>
          <w:ilvl w:val="0"/>
          <w:numId w:val="2"/>
        </w:numPr>
        <w:spacing w:after="60"/>
      </w:pPr>
      <w:r>
        <w:t xml:space="preserve">Review weekly shadow mode report — flag any unexpected predictions</w:t>
      </w:r>
    </w:p>
    <w:p>
      <w:pPr>
        <w:pStyle w:val="ListParagraph"/>
        <w:numPr>
          <w:ilvl w:val="0"/>
          <w:numId w:val="2"/>
        </w:numPr>
        <w:spacing w:after="60"/>
      </w:pPr>
      <w:r>
        <w:t xml:space="preserve">Correct vendor map if any vendor aliases are wrong</w:t>
      </w:r>
    </w:p>
    <w:p>
      <w:pPr>
        <w:pStyle w:val="ListParagraph"/>
        <w:numPr>
          <w:ilvl w:val="0"/>
          <w:numId w:val="2"/>
        </w:numPr>
        <w:spacing w:after="60"/>
      </w:pPr>
      <w:r>
        <w:t xml:space="preserve">Submit any known coding rules that override normal GL assignment</w:t>
      </w:r>
    </w:p>
    <w:p>
      <w:pPr>
        <w:pStyle w:val="ListParagraph"/>
        <w:numPr>
          <w:ilvl w:val="0"/>
          <w:numId w:val="2"/>
        </w:numPr>
        <w:spacing w:after="60"/>
      </w:pPr>
      <w:r>
        <w:t xml:space="preserve">Sign off on go-live readiness at end of 30 days</w:t>
      </w:r>
    </w:p>
    <w:p/>
    <w:p>
      <w:pPr>
        <w:pStyle w:val="Heading2"/>
      </w:pPr>
      <w:r>
        <w:t xml:space="preserve">5.3 Go/No-Go Criteria</w:t>
      </w:r>
    </w:p>
    <w:p>
      <w:pPr>
        <w:pStyle w:val="ListParagraph"/>
        <w:numPr>
          <w:ilvl w:val="0"/>
          <w:numId w:val="2"/>
        </w:numPr>
        <w:spacing w:after="60"/>
      </w:pPr>
      <w:r>
        <w:t xml:space="preserve">Shadow accuracy &gt;95% — system must be more accurate than target threshold</w:t>
      </w:r>
    </w:p>
    <w:p>
      <w:pPr>
        <w:pStyle w:val="ListParagraph"/>
        <w:numPr>
          <w:ilvl w:val="0"/>
          <w:numId w:val="2"/>
        </w:numPr>
        <w:spacing w:after="60"/>
      </w:pPr>
      <w:r>
        <w:t xml:space="preserve">Shadow false positive rate &lt;1% — system must not be over-confident</w:t>
      </w:r>
    </w:p>
    <w:p>
      <w:pPr>
        <w:pStyle w:val="ListParagraph"/>
        <w:numPr>
          <w:ilvl w:val="0"/>
          <w:numId w:val="2"/>
        </w:numPr>
        <w:spacing w:after="60"/>
      </w:pPr>
      <w:r>
        <w:t xml:space="preserve">Top 20 vendors all have &gt;20 corpus points — no major vendor is cold-start</w:t>
      </w:r>
    </w:p>
    <w:p>
      <w:pPr>
        <w:pStyle w:val="ListParagraph"/>
        <w:numPr>
          <w:ilvl w:val="0"/>
          <w:numId w:val="2"/>
        </w:numPr>
        <w:spacing w:after="60"/>
      </w:pPr>
      <w:r>
        <w:t xml:space="preserve">Client AP manager sign-off — human gate before go-live</w:t>
      </w:r>
    </w:p>
    <w:p/>
    <w:p>
      <w:pPr>
        <w:pStyle w:val="Heading1"/>
      </w:pPr>
      <w:r>
        <w:t xml:space="preserve">6. Phase 5 — Go-Live Report</w:t>
      </w:r>
    </w:p>
    <w:p/>
    <w:p>
      <w:r>
        <w:rPr>
          <w:rFonts w:ascii="Arial" w:cs="Arial" w:eastAsia="Arial" w:hAnsi="Arial"/>
          <w:sz w:val="20"/>
          <w:szCs w:val="20"/>
        </w:rPr>
        <w:t xml:space="preserve">FCS produces a go-live report for the client before switching to live mode:</w:t>
      </w:r>
    </w:p>
    <w:p/>
    <w:p>
      <w:pPr>
        <w:pStyle w:val="ListParagraph"/>
        <w:numPr>
          <w:ilvl w:val="0"/>
          <w:numId w:val="2"/>
        </w:numPr>
        <w:spacing w:after="60"/>
      </w:pPr>
      <w:r>
        <w:t xml:space="preserve">Projected automation rate by vendor (top 20)</w:t>
      </w:r>
    </w:p>
    <w:p>
      <w:pPr>
        <w:pStyle w:val="ListParagraph"/>
        <w:numPr>
          <w:ilvl w:val="0"/>
          <w:numId w:val="2"/>
        </w:numPr>
        <w:spacing w:after="60"/>
      </w:pPr>
      <w:r>
        <w:t xml:space="preserve">Projected overall automation rate — weighted by volume</w:t>
      </w:r>
    </w:p>
    <w:p>
      <w:pPr>
        <w:pStyle w:val="ListParagraph"/>
        <w:numPr>
          <w:ilvl w:val="0"/>
          <w:numId w:val="2"/>
        </w:numPr>
        <w:spacing w:after="60"/>
      </w:pPr>
      <w:r>
        <w:t xml:space="preserve">Projected accuracy and false positive rate</w:t>
      </w:r>
    </w:p>
    <w:p>
      <w:pPr>
        <w:pStyle w:val="ListParagraph"/>
        <w:numPr>
          <w:ilvl w:val="0"/>
          <w:numId w:val="2"/>
        </w:numPr>
        <w:spacing w:after="60"/>
      </w:pPr>
      <w:r>
        <w:t xml:space="preserve">Corpus density by vendor — confidence heat map</w:t>
      </w:r>
    </w:p>
    <w:p>
      <w:pPr>
        <w:pStyle w:val="ListParagraph"/>
        <w:numPr>
          <w:ilvl w:val="0"/>
          <w:numId w:val="2"/>
        </w:numPr>
        <w:spacing w:after="60"/>
      </w:pPr>
      <w:r>
        <w:t xml:space="preserve">Recommended confidence threshold — may differ from default 50%</w:t>
      </w:r>
    </w:p>
    <w:p>
      <w:pPr>
        <w:pStyle w:val="ListParagraph"/>
        <w:numPr>
          <w:ilvl w:val="0"/>
          <w:numId w:val="2"/>
        </w:numPr>
        <w:spacing w:after="60"/>
      </w:pPr>
      <w:r>
        <w:t xml:space="preserve">Cold-start vendors — list of vendors with &lt;10 corpus points</w:t>
      </w:r>
    </w:p>
    <w:p>
      <w:pPr>
        <w:pStyle w:val="ListParagraph"/>
        <w:numPr>
          <w:ilvl w:val="0"/>
          <w:numId w:val="2"/>
        </w:numPr>
        <w:spacing w:after="60"/>
      </w:pPr>
      <w:r>
        <w:t xml:space="preserve">High-value override threshold recommendation</w:t>
      </w:r>
    </w:p>
    <w:p>
      <w:pPr>
        <w:pStyle w:val="ListParagraph"/>
        <w:numPr>
          <w:ilvl w:val="0"/>
          <w:numId w:val="2"/>
        </w:numPr>
        <w:spacing w:after="60"/>
      </w:pPr>
      <w:r>
        <w:t xml:space="preserve">Projected monthly saving vs current manual process</w:t>
      </w:r>
    </w:p>
    <w:p>
      <w:pPr>
        <w:pStyle w:val="ListParagraph"/>
        <w:numPr>
          <w:ilvl w:val="0"/>
          <w:numId w:val="2"/>
        </w:numPr>
        <w:spacing w:after="60"/>
      </w:pPr>
      <w:r>
        <w:t xml:space="preserve">Recommended go-live date</w:t>
      </w:r>
    </w:p>
    <w:p/>
    <w:p>
      <w:pPr>
        <w:pStyle w:val="Heading1"/>
      </w:pPr>
      <w:r>
        <w:t xml:space="preserve">7. Phase 6 — Go-Live</w:t>
      </w:r>
    </w:p>
    <w:p/>
    <w:p>
      <w:pPr>
        <w:pStyle w:val="Heading2"/>
      </w:pPr>
      <w:r>
        <w:t xml:space="preserve">7.1 Technical Go-Live</w:t>
      </w:r>
    </w:p>
    <w:p>
      <w:pPr>
        <w:pStyle w:val="ListParagraph"/>
        <w:numPr>
          <w:ilvl w:val="0"/>
          <w:numId w:val="2"/>
        </w:numPr>
        <w:spacing w:after="60"/>
      </w:pPr>
      <w:r>
        <w:t xml:space="preserve">Switch tenant from shadow mode to live mode: UPDATE tenants SET is_shadow_mode = false</w:t>
      </w:r>
    </w:p>
    <w:p>
      <w:pPr>
        <w:pStyle w:val="ListParagraph"/>
        <w:numPr>
          <w:ilvl w:val="0"/>
          <w:numId w:val="2"/>
        </w:numPr>
        <w:spacing w:after="60"/>
      </w:pPr>
      <w:r>
        <w:t xml:space="preserve">Confirm ERP connector is live and posting to production ERP (not test environment)</w:t>
      </w:r>
    </w:p>
    <w:p>
      <w:pPr>
        <w:pStyle w:val="ListParagraph"/>
        <w:numPr>
          <w:ilvl w:val="0"/>
          <w:numId w:val="2"/>
        </w:numPr>
        <w:spacing w:after="60"/>
      </w:pPr>
      <w:r>
        <w:t xml:space="preserve">Run 10-invoice test batch — verify postings appear in ERP within 60 seconds</w:t>
      </w:r>
    </w:p>
    <w:p>
      <w:pPr>
        <w:pStyle w:val="ListParagraph"/>
        <w:numPr>
          <w:ilvl w:val="0"/>
          <w:numId w:val="2"/>
        </w:numPr>
        <w:spacing w:after="60"/>
      </w:pPr>
      <w:r>
        <w:t xml:space="preserve">Enable PagerDuty alerting for this tenant — false positive rate and ERP posting failures</w:t>
      </w:r>
    </w:p>
    <w:p>
      <w:pPr>
        <w:pStyle w:val="ListParagraph"/>
        <w:numPr>
          <w:ilvl w:val="0"/>
          <w:numId w:val="2"/>
        </w:numPr>
        <w:spacing w:after="60"/>
      </w:pPr>
      <w:r>
        <w:t xml:space="preserve">Confirm Langfuse traces flowing — verify in Langfuse dashboard</w:t>
      </w:r>
    </w:p>
    <w:p/>
    <w:p>
      <w:pPr>
        <w:pStyle w:val="Heading2"/>
      </w:pPr>
      <w:r>
        <w:t xml:space="preserve">7.2 AP Clerk Training</w:t>
      </w:r>
    </w:p>
    <w:p>
      <w:r>
        <w:rPr>
          <w:rFonts w:ascii="Arial" w:cs="Arial" w:eastAsia="Arial" w:hAnsi="Arial"/>
          <w:sz w:val="20"/>
          <w:szCs w:val="20"/>
        </w:rPr>
        <w:t xml:space="preserve">Half-day training session covering:</w:t>
      </w:r>
    </w:p>
    <w:p/>
    <w:p>
      <w:pPr>
        <w:pStyle w:val="ListParagraph"/>
        <w:numPr>
          <w:ilvl w:val="0"/>
          <w:numId w:val="2"/>
        </w:numPr>
        <w:spacing w:after="60"/>
      </w:pPr>
      <w:r>
        <w:t xml:space="preserve">What the system does — plain English, no jargon</w:t>
      </w:r>
    </w:p>
    <w:p>
      <w:pPr>
        <w:pStyle w:val="ListParagraph"/>
        <w:numPr>
          <w:ilvl w:val="0"/>
          <w:numId w:val="2"/>
        </w:numPr>
        <w:spacing w:after="60"/>
      </w:pPr>
      <w:r>
        <w:t xml:space="preserve">How to read the review queue — invoice card, confidence bar, routing badge</w:t>
      </w:r>
    </w:p>
    <w:p>
      <w:pPr>
        <w:pStyle w:val="ListParagraph"/>
        <w:numPr>
          <w:ilvl w:val="0"/>
          <w:numId w:val="2"/>
        </w:numPr>
        <w:spacing w:after="60"/>
      </w:pPr>
      <w:r>
        <w:t xml:space="preserve">How to confirm a prediction — one click for auto-post recommendation</w:t>
      </w:r>
    </w:p>
    <w:p>
      <w:pPr>
        <w:pStyle w:val="ListParagraph"/>
        <w:numPr>
          <w:ilvl w:val="0"/>
          <w:numId w:val="2"/>
        </w:numPr>
        <w:spacing w:after="60"/>
      </w:pPr>
      <w:r>
        <w:t xml:space="preserve">How to override a GL code — when and why</w:t>
      </w:r>
    </w:p>
    <w:p>
      <w:pPr>
        <w:pStyle w:val="ListParagraph"/>
        <w:numPr>
          <w:ilvl w:val="0"/>
          <w:numId w:val="2"/>
        </w:numPr>
        <w:spacing w:after="60"/>
      </w:pPr>
      <w:r>
        <w:t xml:space="preserve">How to escalate an invoice — high value, unusual, policy question</w:t>
      </w:r>
    </w:p>
    <w:p>
      <w:pPr>
        <w:pStyle w:val="ListParagraph"/>
        <w:numPr>
          <w:ilvl w:val="0"/>
          <w:numId w:val="2"/>
        </w:numPr>
        <w:spacing w:after="60"/>
      </w:pPr>
      <w:r>
        <w:t xml:space="preserve">How to use Ask AP — what questions to ask, example queries</w:t>
      </w:r>
    </w:p>
    <w:p>
      <w:pPr>
        <w:pStyle w:val="ListParagraph"/>
        <w:numPr>
          <w:ilvl w:val="0"/>
          <w:numId w:val="2"/>
        </w:numPr>
        <w:spacing w:after="60"/>
      </w:pPr>
      <w:r>
        <w:t xml:space="preserve">What the system cannot do — hard limits, when to always use human judgment</w:t>
      </w:r>
    </w:p>
    <w:p>
      <w:pPr>
        <w:pStyle w:val="ListParagraph"/>
        <w:numPr>
          <w:ilvl w:val="0"/>
          <w:numId w:val="2"/>
        </w:numPr>
        <w:spacing w:after="60"/>
      </w:pPr>
      <w:r>
        <w:t xml:space="preserve">How to flag a suspected miscoded corpus point</w:t>
      </w:r>
    </w:p>
    <w:p/>
    <w:p>
      <w:pPr>
        <w:pStyle w:val="Heading2"/>
      </w:pPr>
      <w:r>
        <w:t xml:space="preserve">7.3 AP Manager Training</w:t>
      </w:r>
    </w:p>
    <w:p>
      <w:r>
        <w:rPr>
          <w:rFonts w:ascii="Arial" w:cs="Arial" w:eastAsia="Arial" w:hAnsi="Arial"/>
          <w:sz w:val="20"/>
          <w:szCs w:val="20"/>
        </w:rPr>
        <w:t xml:space="preserve">Additional training for AP managers:</w:t>
      </w:r>
    </w:p>
    <w:p/>
    <w:p>
      <w:pPr>
        <w:pStyle w:val="ListParagraph"/>
        <w:numPr>
          <w:ilvl w:val="0"/>
          <w:numId w:val="2"/>
        </w:numPr>
        <w:spacing w:after="60"/>
      </w:pPr>
      <w:r>
        <w:t xml:space="preserve">How to read the performance dashboard — automation rate, accuracy trends</w:t>
      </w:r>
    </w:p>
    <w:p>
      <w:pPr>
        <w:pStyle w:val="ListParagraph"/>
        <w:numPr>
          <w:ilvl w:val="0"/>
          <w:numId w:val="2"/>
        </w:numPr>
        <w:spacing w:after="60"/>
      </w:pPr>
      <w:r>
        <w:t xml:space="preserve">How to submit and revoke coding rules</w:t>
      </w:r>
    </w:p>
    <w:p>
      <w:pPr>
        <w:pStyle w:val="ListParagraph"/>
        <w:numPr>
          <w:ilvl w:val="0"/>
          <w:numId w:val="2"/>
        </w:numPr>
        <w:spacing w:after="60"/>
      </w:pPr>
      <w:r>
        <w:t xml:space="preserve">How to review and sign off on flagged outliers</w:t>
      </w:r>
    </w:p>
    <w:p>
      <w:pPr>
        <w:pStyle w:val="ListParagraph"/>
        <w:numPr>
          <w:ilvl w:val="0"/>
          <w:numId w:val="2"/>
        </w:numPr>
        <w:spacing w:after="60"/>
      </w:pPr>
      <w:r>
        <w:t xml:space="preserve">How to read the audit trail — provenance JSON, trace IDs</w:t>
      </w:r>
    </w:p>
    <w:p>
      <w:pPr>
        <w:pStyle w:val="ListParagraph"/>
        <w:numPr>
          <w:ilvl w:val="0"/>
          <w:numId w:val="2"/>
        </w:numPr>
        <w:spacing w:after="60"/>
      </w:pPr>
      <w:r>
        <w:t xml:space="preserve">How to escalate a system issue to FCS</w:t>
      </w:r>
    </w:p>
    <w:p/>
    <w:p>
      <w:pPr>
        <w:pStyle w:val="Heading1"/>
      </w:pPr>
      <w:r>
        <w:t xml:space="preserve">8. Phase 7 — Hypercare (2 Weeks)</w:t>
      </w:r>
    </w:p>
    <w:p/>
    <w:p>
      <w:pPr>
        <w:pStyle w:val="ListParagraph"/>
        <w:numPr>
          <w:ilvl w:val="0"/>
          <w:numId w:val="2"/>
        </w:numPr>
        <w:spacing w:after="60"/>
      </w:pPr>
      <w:r>
        <w:t xml:space="preserve">Daily check-in call with client AP manager — first week</w:t>
      </w:r>
    </w:p>
    <w:p>
      <w:pPr>
        <w:pStyle w:val="ListParagraph"/>
        <w:numPr>
          <w:ilvl w:val="0"/>
          <w:numId w:val="2"/>
        </w:numPr>
        <w:spacing w:after="60"/>
      </w:pPr>
      <w:r>
        <w:t xml:space="preserve">Every-other-day check-in — second week</w:t>
      </w:r>
    </w:p>
    <w:p>
      <w:pPr>
        <w:pStyle w:val="ListParagraph"/>
        <w:numPr>
          <w:ilvl w:val="0"/>
          <w:numId w:val="2"/>
        </w:numPr>
        <w:spacing w:after="60"/>
      </w:pPr>
      <w:r>
        <w:t xml:space="preserve">FCS monitors Langfuse dashboard daily — automation rate, accuracy, false positives</w:t>
      </w:r>
    </w:p>
    <w:p>
      <w:pPr>
        <w:pStyle w:val="ListParagraph"/>
        <w:numPr>
          <w:ilvl w:val="0"/>
          <w:numId w:val="2"/>
        </w:numPr>
        <w:spacing w:after="60"/>
      </w:pPr>
      <w:r>
        <w:t xml:space="preserve">Any false positive investigated same day — root cause documented</w:t>
      </w:r>
    </w:p>
    <w:p>
      <w:pPr>
        <w:pStyle w:val="ListParagraph"/>
        <w:numPr>
          <w:ilvl w:val="0"/>
          <w:numId w:val="2"/>
        </w:numPr>
        <w:spacing w:after="60"/>
      </w:pPr>
      <w:r>
        <w:t xml:space="preserve">Corpus quality review at end of week 1 — any outliers flagged and quarantined</w:t>
      </w:r>
    </w:p>
    <w:p>
      <w:pPr>
        <w:pStyle w:val="ListParagraph"/>
        <w:numPr>
          <w:ilvl w:val="0"/>
          <w:numId w:val="2"/>
        </w:numPr>
        <w:spacing w:after="60"/>
      </w:pPr>
      <w:r>
        <w:t xml:space="preserve">Hypercare exit report: 2-week results vs shadow mode projections</w:t>
      </w:r>
    </w:p>
    <w:p>
      <w:pPr>
        <w:pStyle w:val="ListParagraph"/>
        <w:numPr>
          <w:ilvl w:val="0"/>
          <w:numId w:val="2"/>
        </w:numPr>
        <w:spacing w:after="60"/>
      </w:pPr>
      <w:r>
        <w:t xml:space="preserve">Ongoing support SLA: P1 response &lt;1h, P2 &lt;4h, P3 next business day</w:t>
      </w:r>
    </w:p>
    <w:p/>
    <w:p>
      <w:pPr>
        <w:pStyle w:val="Heading1"/>
      </w:pPr>
      <w:r>
        <w:t xml:space="preserve">9. Steady State</w:t>
      </w:r>
    </w:p>
    <w:p/>
    <w:p>
      <w:pPr>
        <w:pStyle w:val="ListParagraph"/>
        <w:numPr>
          <w:ilvl w:val="0"/>
          <w:numId w:val="2"/>
        </w:numPr>
        <w:spacing w:after="60"/>
      </w:pPr>
      <w:r>
        <w:t xml:space="preserve">Monthly performance review: automation rate trend, accuracy, corpus growth</w:t>
      </w:r>
    </w:p>
    <w:p>
      <w:pPr>
        <w:pStyle w:val="ListParagraph"/>
        <w:numPr>
          <w:ilvl w:val="0"/>
          <w:numId w:val="2"/>
        </w:numPr>
        <w:spacing w:after="60"/>
      </w:pPr>
      <w:r>
        <w:t xml:space="preserve">Quarterly corpus health check: age distribution, outlier review, vendor density</w:t>
      </w:r>
    </w:p>
    <w:p>
      <w:pPr>
        <w:pStyle w:val="ListParagraph"/>
        <w:numPr>
          <w:ilvl w:val="0"/>
          <w:numId w:val="2"/>
        </w:numPr>
        <w:spacing w:after="60"/>
      </w:pPr>
      <w:r>
        <w:t xml:space="preserve">Annual chart of accounts sync: catch GL code changes, deprecations, additions</w:t>
      </w:r>
    </w:p>
    <w:p>
      <w:pPr>
        <w:pStyle w:val="ListParagraph"/>
        <w:numPr>
          <w:ilvl w:val="0"/>
          <w:numId w:val="2"/>
        </w:numPr>
        <w:spacing w:after="60"/>
      </w:pPr>
      <w:r>
        <w:t xml:space="preserve">Client-initiated rule changes: submit via natural language in the UI — no FCS involvement required</w:t>
      </w:r>
    </w:p>
    <w:p>
      <w:pPr>
        <w:pStyle w:val="ListParagraph"/>
        <w:numPr>
          <w:ilvl w:val="0"/>
          <w:numId w:val="2"/>
        </w:numPr>
        <w:spacing w:after="60"/>
      </w:pPr>
      <w:r>
        <w:t xml:space="preserve">New vendor onboarding: first invoice always human review, subsequent invoices build corpus automatically</w:t>
      </w:r>
    </w:p>
    <w:p>
      <w:pPr>
        <w:pStyle w:val="ListParagraph"/>
        <w:numPr>
          <w:ilvl w:val="0"/>
          <w:numId w:val="2"/>
        </w:numPr>
        <w:spacing w:after="60"/>
      </w:pPr>
      <w:r>
        <w:t xml:space="preserve">Model updates: FCS manages embedding model updates — client sees no disruption</w:t>
      </w:r>
    </w:p>
    <w:p/>
    <w:p>
      <w:r>
        <w:rPr>
          <w:rFonts w:ascii="Arial" w:cs="Arial" w:eastAsia="Arial" w:hAnsi="Arial"/>
          <w:color w:val="6B7280"/>
          <w:sz w:val="18"/>
          <w:szCs w:val="18"/>
        </w:rPr>
        <w:t xml:space="preserve">Contact: miles.waite@akkoda.com  |  github.com/Milesy1/ap-automation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2026-10-02T17:38:12.200Z</dcterms:created>
  <dcterms:modified xsi:type="dcterms:W3CDTF">2026-10-02T17:38:12.201Z</dcterms:modified>
</cp:coreProperties>
</file>

<file path=docProps/custom.xml><?xml version="1.0" encoding="utf-8"?>
<Properties xmlns="http://schemas.openxmlformats.org/officeDocument/2006/custom-properties" xmlns:vt="http://schemas.openxmlformats.org/officeDocument/2006/docPropsVTypes"/>
</file>