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 Automation RAGbot — Best in Class</w:t>
      </w:r>
    </w:p>
    <w:p>
      <w:r>
        <w:rPr>
          <w:rFonts w:ascii="Arial" w:cs="Arial" w:eastAsia="Arial" w:hAnsi="Arial"/>
          <w:sz w:val="20"/>
          <w:szCs w:val="20"/>
        </w:rPr>
        <w:t xml:space="preserve">A comprehensive specification of every improvement required to make the RAGbot best-in-class for this project, separated into RAG core essentials and middleware enhancements.</w:t>
      </w:r>
    </w:p>
    <w:p>
      <w:r>
        <w:rPr>
          <w:rFonts w:ascii="Arial" w:cs="Arial" w:eastAsia="Arial" w:hAnsi="Arial"/>
          <w:sz w:val="20"/>
          <w:szCs w:val="20"/>
        </w:rPr>
        <w:t xml:space="preserve">October 2026  |  Form Consulting Services  |  Akkoda</w:t>
      </w:r>
    </w:p>
    <w:p/>
    <w:p>
      <w:pPr>
        <w:pStyle w:val="Heading1"/>
      </w:pPr>
      <w:r>
        <w:t xml:space="preserve">1. RAGAS Baseline — Establish Before Any Changes</w:t>
      </w:r>
    </w:p>
    <w:p>
      <w:r>
        <w:rPr>
          <w:rFonts w:ascii="Arial" w:cs="Arial" w:eastAsia="Arial" w:hAnsi="Arial"/>
          <w:sz w:val="20"/>
          <w:szCs w:val="20"/>
        </w:rPr>
        <w:t xml:space="preserve">Before any enhancement is made, establish a RAGAS benchmark against the current corpus. This is the reference point everything is measured against. No change to the RAG core is acceptable unless RAGAS scores improve or hold.</w:t>
      </w:r>
    </w:p>
    <w:p/>
    <w:p>
      <w:pPr>
        <w:pStyle w:val="Heading2"/>
      </w:pPr>
      <w:r>
        <w:t xml:space="preserve">1.1 RAGAS Metrics to Run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Faithfulness — are retrieved evidence lines actually used in the prediction? Target: &gt;0.95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Relevancy — is the predicted GL code relevant to the invoice description? Target: &gt;0.90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 Precision — are the top retrieved lines the most relevant ones? Target: &gt;0.85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 Recall — does the retrieved set contain all lines needed for the correct answer? Target: &gt;0.90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Correctness — predicted GL vs ground truth GL. Target: &gt;0.99 (already proven)</w:t>
      </w:r>
    </w:p>
    <w:p/>
    <w:p>
      <w:pPr>
        <w:pStyle w:val="Heading2"/>
      </w:pPr>
      <w:r>
        <w:t xml:space="preserve">1.2 Tooling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RAGAS Python library — pip install ragas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Ground truth dataset: data/invoices_200_optimised.csv (200 invoices with ground_truth_gl)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against the Qdrant corpus — not a mock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scores to data/ragas_baseline.json before any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Re-run after every retrieval change as a regression test</w:t>
      </w:r>
    </w:p>
    <w:p/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Rule: freeze the RAG core once RAGAS is maxed. All future improvements go in middleware.</w:t>
      </w:r>
    </w:p>
    <w:p/>
    <w:p>
      <w:pPr>
        <w:pStyle w:val="Heading1"/>
      </w:pPr>
      <w:r>
        <w:t xml:space="preserve">2. RAG Core — Essentials for Best-in-Class</w:t>
      </w:r>
    </w:p>
    <w:p>
      <w:r>
        <w:rPr>
          <w:rFonts w:ascii="Arial" w:cs="Arial" w:eastAsia="Arial" w:hAnsi="Arial"/>
          <w:sz w:val="20"/>
          <w:szCs w:val="20"/>
        </w:rPr>
        <w:t xml:space="preserve">These are improvements to the retrieval and confidence layers themselves. They belong in the RAG core, not middleware. Each should be benchmarked against RAGAS before and after.</w:t>
      </w:r>
    </w:p>
    <w:p/>
    <w:p>
      <w:pPr>
        <w:pStyle w:val="Heading2"/>
      </w:pPr>
      <w:r>
        <w:t xml:space="preserve">2.1 Retrieval Quality</w:t>
      </w:r>
    </w:p>
    <w:p/>
    <w:p>
      <w:pPr>
        <w:pStyle w:val="Heading3"/>
      </w:pPr>
      <w:r>
        <w:t xml:space="preserve">2.1.1 Cross-Encoder Re-Ranking (Highest Priority)</w:t>
      </w:r>
    </w:p>
    <w:p>
      <w:r>
        <w:rPr>
          <w:rFonts w:ascii="Arial" w:cs="Arial" w:eastAsia="Arial" w:hAnsi="Arial"/>
          <w:sz w:val="20"/>
          <w:szCs w:val="20"/>
        </w:rPr>
        <w:t xml:space="preserve">The current pipeline retrieves top-10 via hybrid RRF then scores confidence from those 10. A cross-encoder re-ranker (Cohere Rerank or a local model) re-scores the top-10 by semantic relevance before confidence scoring, significantly improving precision.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Cohere Rerank API call after RRF, before confidence scoring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Re-rank top-20 candidates down to top-10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improvement: Context Precision +5-10pp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Cost: ~£0.001 per invoice at 10k invoices/month — negligible</w:t>
      </w:r>
    </w:p>
    <w:p/>
    <w:p>
      <w:pPr>
        <w:pStyle w:val="Heading3"/>
      </w:pPr>
      <w:r>
        <w:t xml:space="preserve">2.1.2 Adaptive BM25/Dense Weighting</w:t>
      </w:r>
    </w:p>
    <w:p>
      <w:r>
        <w:rPr>
          <w:rFonts w:ascii="Arial" w:cs="Arial" w:eastAsia="Arial" w:hAnsi="Arial"/>
          <w:sz w:val="20"/>
          <w:szCs w:val="20"/>
        </w:rPr>
        <w:t xml:space="preserve">The current 0.5/0.5 BM25/dense split is fixed. Short descriptions (3-4 words) benefit from higher BM25 weight; long descriptions benefit from higher dense weight.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Measure description length at query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dynamic weights: short (&lt;5 tokens) = BM25 0.7 / dense 0.3; long (&gt;10 tokens) = BM25 0.3 / dense 0.7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improvement: Context Recall on short descriptions</w:t>
      </w:r>
    </w:p>
    <w:p/>
    <w:p>
      <w:pPr>
        <w:pStyle w:val="Heading3"/>
      </w:pPr>
      <w:r>
        <w:t xml:space="preserve">2.1.3 Temporal Decay on Evidence</w:t>
      </w:r>
    </w:p>
    <w:p>
      <w:r>
        <w:rPr>
          <w:rFonts w:ascii="Arial" w:cs="Arial" w:eastAsia="Arial" w:hAnsi="Arial"/>
          <w:sz w:val="20"/>
          <w:szCs w:val="20"/>
        </w:rPr>
        <w:t xml:space="preserve">A confirmed invoice from 3 years ago is less reliable evidence than one from last month. Coding policies change, vendors change descriptions, chart of accounts evolves.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confirmation_timestamp on every corpus point (already done)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exponential decay to similarity scores: score *= e^(-lambda * days_ago)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Lambda = 0.001 (half-life ~2 years) — tune from confirmed outcome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Prevents stale evidence dominating predictions</w:t>
      </w:r>
    </w:p>
    <w:p/>
    <w:p>
      <w:pPr>
        <w:pStyle w:val="Heading3"/>
      </w:pPr>
      <w:r>
        <w:t xml:space="preserve">2.1.4 Vendor Alias Unification (MDM Enhancement)</w:t>
      </w:r>
    </w:p>
    <w:p>
      <w:r>
        <w:rPr>
          <w:rFonts w:ascii="Arial" w:cs="Arial" w:eastAsia="Arial" w:hAnsi="Arial"/>
          <w:sz w:val="20"/>
          <w:szCs w:val="20"/>
        </w:rPr>
        <w:t xml:space="preserve">LearnForward Ltd and Learn Forward Training are currently near-duplicates. Aggressive MDM unification ensures all variants map to the same canonical ID and share evidence.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Expand vendor_map.csv with fuzzy-matched aliases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edit-distance matching in resolve_vendor() for near-matches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 low-confidence MDM resolutions for human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improvement: evidence density per vendor, higher agreement ratio</w:t>
      </w:r>
    </w:p>
    <w:p/>
    <w:p>
      <w:pPr>
        <w:pStyle w:val="Heading3"/>
      </w:pPr>
      <w:r>
        <w:t xml:space="preserve">2.1.5 Corpus Deduplication</w:t>
      </w:r>
    </w:p>
    <w:p>
      <w:r>
        <w:rPr>
          <w:rFonts w:ascii="Arial" w:cs="Arial" w:eastAsia="Arial" w:hAnsi="Arial"/>
          <w:sz w:val="20"/>
          <w:szCs w:val="20"/>
        </w:rPr>
        <w:t xml:space="preserve">The same description confirmed multiple times adds redundant points. Duplicates dilute the corpus without adding signal.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write-back, check if a near-identical point (similarity &gt;0.98, same GL) already exists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duplicate found: update the existing point's timestamp and confirmation count rather than adding a new 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confirmation_count field to each corpus 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improvement: cleaner corpus, better Context Precision</w:t>
      </w:r>
    </w:p>
    <w:p/>
    <w:p>
      <w:pPr>
        <w:pStyle w:val="Heading3"/>
      </w:pPr>
      <w:r>
        <w:t xml:space="preserve">2.1.6 Corpus Outlier Detection</w:t>
      </w:r>
    </w:p>
    <w:p>
      <w:r>
        <w:rPr>
          <w:rFonts w:ascii="Arial" w:cs="Arial" w:eastAsia="Arial" w:hAnsi="Arial"/>
          <w:sz w:val="20"/>
          <w:szCs w:val="20"/>
        </w:rPr>
        <w:t xml:space="preserve">A miscoded invoice that gets confirmed enters the corpus and corrupts future predictions for that vendor. This is the most dangerous failure mode at scale.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write-back, check the new GL against the vendor's corpus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new GL is a significant outlier (&gt;3 sigma from vendor mean), flag for secondary review before indexing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flagged outliers to audit trail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block the write-back — flag and index, but alert</w:t>
      </w:r>
    </w:p>
    <w:p/>
    <w:p>
      <w:pPr>
        <w:pStyle w:val="Heading3"/>
      </w:pPr>
      <w:r>
        <w:t xml:space="preserve">2.1.7 Amount-Band Confidence Weighting</w:t>
      </w:r>
    </w:p>
    <w:p>
      <w:r>
        <w:rPr>
          <w:rFonts w:ascii="Arial" w:cs="Arial" w:eastAsia="Arial" w:hAnsi="Arial"/>
          <w:sz w:val="20"/>
          <w:szCs w:val="20"/>
        </w:rPr>
        <w:t xml:space="preserve">A £50,000 invoice should require higher confidence than a £200 one. High-value invoices are higher risk if miscoded.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amount_band to the confidence gate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Large (&gt;£10k): threshold 0.70 instead of 0.50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Medium (£1k-£10k): threshold 0.55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 (&lt;£1k): threshold 0.50 (current default)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Very large (&gt;£50k): always route to human review regardless of confidence</w:t>
      </w:r>
    </w:p>
    <w:p/>
    <w:p>
      <w:pPr>
        <w:pStyle w:val="Heading2"/>
      </w:pPr>
      <w:r>
        <w:t xml:space="preserve">2.2 Confidence Scoring</w:t>
      </w:r>
    </w:p>
    <w:p/>
    <w:p>
      <w:pPr>
        <w:pStyle w:val="Heading3"/>
      </w:pPr>
      <w:r>
        <w:t xml:space="preserve">2.2.1 Learned Weighting (Agreement/Similarity Split)</w:t>
      </w:r>
    </w:p>
    <w:p>
      <w:r>
        <w:rPr>
          <w:rFonts w:ascii="Arial" w:cs="Arial" w:eastAsia="Arial" w:hAnsi="Arial"/>
          <w:sz w:val="20"/>
          <w:szCs w:val="20"/>
        </w:rPr>
        <w:t xml:space="preserve">The current 0.7/0.3 agreement/similarity split is hand-tuned. It should be learned from confirmed outcomes over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agreement_ratio and avg_similarity alongside correctness for every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1,000 confirmed outcomes, fit a logistic regression to find optimal weights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AGREEMENT_WEIGHT and SIMILARITY_WEIGHT in confidence.py from the fitted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Re-run RAGAS to confirm improvement</w:t>
      </w:r>
    </w:p>
    <w:p/>
    <w:p>
      <w:pPr>
        <w:pStyle w:val="Heading3"/>
      </w:pPr>
      <w:r>
        <w:t xml:space="preserve">2.2.2 Per-Vendor Adaptive Thresholds</w:t>
      </w:r>
    </w:p>
    <w:p>
      <w:r>
        <w:rPr>
          <w:rFonts w:ascii="Arial" w:cs="Arial" w:eastAsia="Arial" w:hAnsi="Arial"/>
          <w:sz w:val="20"/>
          <w:szCs w:val="20"/>
        </w:rPr>
        <w:t xml:space="preserve">A global 50% threshold is a blunt instrument. Vendors with consistent coding history should auto-post at lower confidence; vendors with mixed history should require higher confidence.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per-vendor accuracy over last 100 confirmations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High-accuracy vendors (&gt;99%): lower threshold to 0.40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Mixed-accuracy vendors (&lt;95%): raise threshold to 0.65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in VENDOR_THRESHOLDS dict — already partially implemented</w:t>
      </w:r>
    </w:p>
    <w:p/>
    <w:p>
      <w:pPr>
        <w:pStyle w:val="Heading3"/>
      </w:pPr>
      <w:r>
        <w:t xml:space="preserve">2.2.3 Confirmation Source Weighting</w:t>
      </w:r>
    </w:p>
    <w:p>
      <w:r>
        <w:rPr>
          <w:rFonts w:ascii="Arial" w:cs="Arial" w:eastAsia="Arial" w:hAnsi="Arial"/>
          <w:sz w:val="20"/>
          <w:szCs w:val="20"/>
        </w:rPr>
        <w:t xml:space="preserve">A human correction (overriding an auto-post) is stronger evidence than a routine auto-post confirmation. The write-back loop currently treats them equally.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source_weight to index_outcome payload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 correction: weight 2.0 (strong signal, policy change or error)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 confirmation: weight 1.5 (validated by a person)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Auto-post: weight 1.0 (system confirmed)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weight in RRF score calculation</w:t>
      </w:r>
    </w:p>
    <w:p/>
    <w:p>
      <w:pPr>
        <w:pStyle w:val="Heading2"/>
      </w:pPr>
      <w:r>
        <w:t xml:space="preserve">2.3 Embeddings</w:t>
      </w:r>
    </w:p>
    <w:p/>
    <w:p>
      <w:pPr>
        <w:pStyle w:val="Heading3"/>
      </w:pPr>
      <w:r>
        <w:t xml:space="preserve">2.3.1 Periodic Re-Embedding on Model Updates</w:t>
      </w:r>
    </w:p>
    <w:p>
      <w:r>
        <w:rPr>
          <w:rFonts w:ascii="Arial" w:cs="Arial" w:eastAsia="Arial" w:hAnsi="Arial"/>
          <w:sz w:val="20"/>
          <w:szCs w:val="20"/>
        </w:rPr>
        <w:t xml:space="preserve">If OpenAI update text-embedding-3-small, the corpus vectors become stale. New invoices embed differently from old corpus points, degrading similarity scores.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the embedding model version on every corpus 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model version change: trigger a background re-embedding job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Re-embed in batches of 1,000 to stay within rate limits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Swap corpus collection atomically — maintain the old one until the new one is verified</w:t>
      </w:r>
    </w:p>
    <w:p/>
    <w:p>
      <w:pPr>
        <w:pStyle w:val="Heading3"/>
      </w:pPr>
      <w:r>
        <w:t xml:space="preserve">2.3.2 Description Preprocessing</w:t>
      </w:r>
    </w:p>
    <w:p>
      <w:r>
        <w:rPr>
          <w:rFonts w:ascii="Arial" w:cs="Arial" w:eastAsia="Arial" w:hAnsi="Arial"/>
          <w:sz w:val="20"/>
          <w:szCs w:val="20"/>
        </w:rPr>
        <w:t xml:space="preserve">Invoice descriptions contain noise that hurts embedding quality: reference numbers, dates, VAT codes, PO numbers.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 leading/trailing reference numbers (regex: [A-Z]{2,}-[0-9]+)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 date patterns from descriptions before embedding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Normalise whitespace and capitalisation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remove invoice-specific nouns (Q3, monthly, annual) — they carry signal</w:t>
      </w:r>
    </w:p>
    <w:p/>
    <w:p>
      <w:pPr>
        <w:pStyle w:val="Heading1"/>
      </w:pPr>
      <w:r>
        <w:t xml:space="preserve">3. Middleware — Enhancements Hosted Outside the RAG Core</w:t>
      </w:r>
    </w:p>
    <w:p>
      <w:r>
        <w:rPr>
          <w:rFonts w:ascii="Arial" w:cs="Arial" w:eastAsia="Arial" w:hAnsi="Arial"/>
          <w:sz w:val="20"/>
          <w:szCs w:val="20"/>
        </w:rPr>
        <w:t xml:space="preserve">These belong in the FastAPI middleware layer, not in the retrieval or confidence modules. Each can be toggled independently via feature flags. The RAG core remains frozen.</w:t>
      </w:r>
    </w:p>
    <w:p/>
    <w:p>
      <w:pPr>
        <w:pStyle w:val="Heading2"/>
      </w:pPr>
      <w:r>
        <w:t xml:space="preserve">3.1 Routing &amp; Orchestration</w:t>
      </w:r>
    </w:p>
    <w:p/>
    <w:p>
      <w:pPr>
        <w:pStyle w:val="Heading3"/>
      </w:pPr>
      <w:r>
        <w:t xml:space="preserve">3.1.1 High-Value Invoice Override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Invoices above a configurable threshold (default £25,000) always route to human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Configurable per tenant and per entity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Override reason logged to audit trail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Already in architecture spec — implement as middleware gate before confidence gate</w:t>
      </w:r>
    </w:p>
    <w:p/>
    <w:p>
      <w:pPr>
        <w:pStyle w:val="Heading3"/>
      </w:pPr>
      <w:r>
        <w:t xml:space="preserve">3.1.2 Approval Workflow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Auto-posted invoices above £5,000 trigger an async approval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Approver confirms or corrects within the review queue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Timeout (48h): escalate to senior approver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status tracked in Postgres — not in the RAG corpus</w:t>
      </w:r>
    </w:p>
    <w:p/>
    <w:p>
      <w:pPr>
        <w:pStyle w:val="Heading3"/>
      </w:pPr>
      <w:r>
        <w:t xml:space="preserve">3.1.3 Duplicate Invoice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Before prediction, check ERP ledger for invoices with same vendor + amount + date range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 potential duplicates with a warning in the review queue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block — flag and route for human confirmation</w:t>
      </w:r>
    </w:p>
    <w:p/>
    <w:p>
      <w:pPr>
        <w:pStyle w:val="Heading2"/>
      </w:pPr>
      <w:r>
        <w:t xml:space="preserve">3.2 LangGraph Agentic Layer</w:t>
      </w:r>
    </w:p>
    <w:p/>
    <w:p>
      <w:pPr>
        <w:pStyle w:val="Heading3"/>
      </w:pPr>
      <w:r>
        <w:t xml:space="preserve">3.2.1 Plain-English Explanation for Low-Confidence Invoices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invoices routed to human review, LLM generates a plain-English explanation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Explains which evidence lines were retrieved, why confidence was low, and what the clerk should consider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Claude claude-sonnet-4-6 via Anthropic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Explanation quality scored via Langfuse custom eval</w:t>
      </w:r>
    </w:p>
    <w:p/>
    <w:p>
      <w:pPr>
        <w:pStyle w:val="Heading3"/>
      </w:pPr>
      <w:r>
        <w:t xml:space="preserve">3.2.2 Tool-Calling Agent</w:t>
      </w:r>
    </w:p>
    <w:p>
      <w:r>
        <w:rPr>
          <w:rFonts w:ascii="Arial" w:cs="Arial" w:eastAsia="Arial" w:hAnsi="Arial"/>
          <w:sz w:val="20"/>
          <w:szCs w:val="20"/>
        </w:rPr>
        <w:t xml:space="preserve">Claude reasons over the following tools to answer clerk questions and handle ambiguous invoices: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get_corpus_size() — current Qdrant point 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get_vendor_gl_history(vendor_name) — GL distribution for a vendor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get_invoice_evidence(description, vendor) — live retrieval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get_audit_record(invoice_id) — full provenance 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get_erp_postings(vendor, date_range) — ERP ledger query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get_performance_metrics() — automation rate, accuracy, batch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predict_invoice(vendor, description, amount) — live prediction</w:t>
      </w:r>
    </w:p>
    <w:p/>
    <w:p>
      <w:pPr>
        <w:pStyle w:val="Heading3"/>
      </w:pPr>
      <w:r>
        <w:t xml:space="preserve">3.2.3 Rule Submission via Natural Language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"From now on, code all Zephyr Global Holdings invoices to GL 6400"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parses the instruction, validates GL code exists, writes to VENDOR_THRESHOLDS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 logged to audit trail with submitting user and timestamp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Rules are reviewable and revocable by an admin</w:t>
      </w:r>
    </w:p>
    <w:p/>
    <w:p>
      <w:pPr>
        <w:pStyle w:val="Heading2"/>
      </w:pPr>
      <w:r>
        <w:t xml:space="preserve">3.3 Observability &amp; Quality</w:t>
      </w:r>
    </w:p>
    <w:p/>
    <w:p>
      <w:pPr>
        <w:pStyle w:val="Heading3"/>
      </w:pPr>
      <w:r>
        <w:t xml:space="preserve">3.3.1 RAGAS Continuous Eval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RAGAS nightly against the last 200 confirmed invoices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via PagerDuty if any score drops &gt;5pp from baseline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Scores logged to Langfuse as custom eval metrics</w:t>
      </w:r>
    </w:p>
    <w:p/>
    <w:p>
      <w:pPr>
        <w:pStyle w:val="Heading3"/>
      </w:pPr>
      <w:r>
        <w:t xml:space="preserve">3.3.2 Corpus Drift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Weekly: for each canonical vendor, compare current GL distribution to baseline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if dominant GL shifts (potential policy change or data quality issue)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Auto-raise a human review task if drift exceeds threshold</w:t>
      </w:r>
    </w:p>
    <w:p/>
    <w:p>
      <w:pPr>
        <w:pStyle w:val="Heading3"/>
      </w:pPr>
      <w:r>
        <w:t xml:space="preserve">3.3.3 Prometheus + Grafana Business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Automation rate per vendor, entity, GL code, amount band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score distribution over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Write-back rate and corpus growth trajectory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False positive rate with 7-day rolling average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PagerDuty alert if false positive rate exceeds 0.5%</w:t>
      </w:r>
    </w:p>
    <w:p/>
    <w:p>
      <w:pPr>
        <w:pStyle w:val="Heading3"/>
      </w:pPr>
      <w:r>
        <w:t xml:space="preserve">3.3.4 Shadow Mode Onboarding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new clients: run predictions without auto-posting for first 30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prediction is compared to what the clerk actually coded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shows projected automation rate and accuracy before going live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Corpus seeds from shadow mode confirmations before go-live</w:t>
      </w:r>
    </w:p>
    <w:p/>
    <w:p>
      <w:pPr>
        <w:pStyle w:val="Heading2"/>
      </w:pPr>
      <w:r>
        <w:t xml:space="preserve">3.4 Multi-Tenancy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Per-tenant Qdrant collections — already in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confidence thresholds — configurable via admin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GL code validation — validate predicted GL against tenant chart of accounts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high-value thresholds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 isolation: Postgres RLS, Redis namespacing, JWT per tenant</w:t>
      </w:r>
    </w:p>
    <w:p/>
    <w:p>
      <w:pPr>
        <w:pStyle w:val="Heading2"/>
      </w:pPr>
      <w:r>
        <w:t xml:space="preserve">3.5 ERP Integration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iplicit connector — Phase 1 priority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NetSuite connector — Phase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SAP connector — Phase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Generic REST connector for custom ERPs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Write-back failure handling — retry queue with exponential backoff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ERP posting confirmation — verify posting succeeded before indexing to corpus</w:t>
      </w:r>
    </w:p>
    <w:p/>
    <w:p>
      <w:pPr>
        <w:pStyle w:val="Heading1"/>
      </w:pPr>
      <w:r>
        <w:t xml:space="preserve">4. Priority Order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500"/>
        <w:gridCol w:w="2760"/>
      </w:tblGrid>
      <w:tr>
        <w:trPr>
          <w:tblHeader/>
        </w:trPr>
        <w:tc>
          <w:tcPr>
            <w:tcW w:type="dxa" w:w="6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4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7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Impact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RAGAS baseline — run before anything else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Sets the benchmark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Cross-encoder re-ranking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RAG Core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Context Precision +5-10pp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Temporal decay on evidence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RAG Core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Prevents stale corpus degrading predictions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Corpus deduplication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RAG Core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Cleaner corpus, better precision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Corpus outlier detection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RAG Core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Prevents miscoded invoices corrupting corpus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Amount-band confidence weighting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RAG Core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Better governance on high-value invoices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Confirmation source weighting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RAG Core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Stronger write-back signal from corrections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 preprocessing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RAG Core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Cleaner embeddings, better similarity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Per-vendor adaptive thresholds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RAG Core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More precise routing per vendor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High-value invoice override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Middleware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Governance — mandatory for production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LangGraph tool-calling agent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Middleware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Ask AP chatbot — significant UX improvement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Approval workflow integration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Middleware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 for enterprise clients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RAGAS continuous eval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Middleware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Quality assurance at scale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Shadow mode onboarding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Middleware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Reduces client go-live risk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Prometheus + Grafana dashboard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Middleware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Operations visibility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Adaptive BM25/dense weighting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RAG Core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Marginal gain — do after re-ranking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Learned confidence weighting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RAG Core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Requires 1,000+ confirmed outcomes first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Periodic re-embedding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RAG Core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needed on OpenAI model update</w:t>
            </w:r>
          </w:p>
        </w:tc>
      </w:tr>
    </w:tbl>
    <w:p/>
    <w:p>
      <w:pPr>
        <w:pStyle w:val="Heading1"/>
      </w:pPr>
      <w:r>
        <w:t xml:space="preserve">5. What Not to Change</w:t>
      </w:r>
    </w:p>
    <w:p>
      <w:r>
        <w:rPr>
          <w:rFonts w:ascii="Arial" w:cs="Arial" w:eastAsia="Arial" w:hAnsi="Arial"/>
          <w:sz w:val="20"/>
          <w:szCs w:val="20"/>
        </w:rPr>
        <w:t xml:space="preserve">Once RAGAS is maxed, these elements should be frozen: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Hybrid dense + BM25 + RRF retrieval architecture — proven, fast, well-understood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text-embedding-3-small — cost/quality optimum for this domain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Qdrant Cloud — sub-millisecond retrieval, scales well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formula structure — 0.7/0.3 may be tuned but the additive formula is correct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Write-back loop mechanism — the core self-learning principle is sound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evidence lines gate (3) — prevents low-evidence auto-posts</w:t>
      </w:r>
    </w:p>
    <w:p/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The write-back loop improves the corpus passively. Do not introduce active retraining or fine-tuning — the system is designed to learn from confirmed human outputs, not from its own predictions.</w:t>
      </w:r>
    </w:p>
    <w:p/>
    <w:p>
      <w:r>
        <w:rPr>
          <w:rFonts w:ascii="Arial" w:cs="Arial" w:eastAsia="Arial" w:hAnsi="Arial"/>
          <w:color w:val="6B7280"/>
          <w:sz w:val="18"/>
          <w:szCs w:val="18"/>
        </w:rPr>
        <w:t xml:space="preserve">Contact: miles.waite@akkoda.com  |  github.com/Milesy1/ap-automation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2026-10-02T16:49:29.824Z</dcterms:created>
  <dcterms:modified xsi:type="dcterms:W3CDTF">2026-10-02T16:49:29.831Z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