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AP Automation — Testing Strategy</w:t>
      </w:r>
    </w:p>
    <w:p>
      <w:r>
        <w:rPr>
          <w:rFonts w:ascii="Arial" w:cs="Arial" w:eastAsia="Arial" w:hAnsi="Arial"/>
          <w:sz w:val="20"/>
          <w:szCs w:val="20"/>
        </w:rPr>
        <w:t xml:space="preserve">Comprehensive testing specification covering unit, integration, contract, RAGAS regression, load, chaos, E2E, and accessibility testing — with CI/CD gates and golden dataset management.</w:t>
      </w:r>
    </w:p>
    <w:p>
      <w:r>
        <w:rPr>
          <w:rFonts w:ascii="Arial" w:cs="Arial" w:eastAsia="Arial" w:hAnsi="Arial"/>
          <w:sz w:val="20"/>
          <w:szCs w:val="20"/>
        </w:rPr>
        <w:t xml:space="preserve">October 2026  |  Form Consulting Services  |  Akkoda</w:t>
      </w:r>
    </w:p>
    <w:p/>
    <w:p>
      <w:pPr>
        <w:pStyle w:val="Heading1"/>
      </w:pPr>
      <w:r>
        <w:t xml:space="preserve">1. Testing Pyramid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860"/>
      </w:tblGrid>
      <w:tr>
        <w:trPr>
          <w:tblHeader/>
        </w:trPr>
        <w:tc>
          <w:tcPr>
            <w:tcW w:type="dxa" w:w="20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Tool</w:t>
            </w:r>
          </w:p>
        </w:tc>
        <w:tc>
          <w:tcPr>
            <w:tcW w:type="dxa" w:w="15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Coverage target</w:t>
            </w:r>
          </w:p>
        </w:tc>
        <w:tc>
          <w:tcPr>
            <w:tcW w:type="dxa" w:w="386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Run on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pytest / Vitest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&gt;90%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commit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Integration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pytest + testcontainers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&gt;80%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PR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Contract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pact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API endpoints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PR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RAGAS regression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ragas + pytest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4 metrics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PR (gate)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E2E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Playwright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Critical paths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PR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Accessibility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axe-core + Playwright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WCAG 2.1 AA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PR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Locust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10k inv/hr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Weekly + pre-release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Chaos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Chaos Toolkit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dependencies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Monthly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Visual regression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Chromatic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components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Every PR</w:t>
            </w:r>
          </w:p>
        </w:tc>
      </w:tr>
    </w:tbl>
    <w:p/>
    <w:p>
      <w:pPr>
        <w:pStyle w:val="Heading1"/>
      </w:pPr>
      <w:r>
        <w:t xml:space="preserve">2. Unit Tests — pytest</w:t>
      </w:r>
    </w:p>
    <w:p/>
    <w:p>
      <w:pPr>
        <w:pStyle w:val="Heading2"/>
      </w:pPr>
      <w:r>
        <w:t xml:space="preserve">2.1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confidence.py — score() and route() functions with all edge cases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mdm.py — resolve_vendor() with exact, fuzzy, and no-match cases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retrieval.py — retrieve() mocked Qdrant client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pipeline.py — predict(), confirm(), write_back() mocked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embeddings.py — embed() mocked OpenAI client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dataset.py — generate_dataset() output schema validation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utility functions — amount_to_band(), preprocessing, formatting</w:t>
      </w:r>
    </w:p>
    <w:p/>
    <w:p>
      <w:pPr>
        <w:pStyle w:val="Heading2"/>
      </w:pPr>
      <w:r>
        <w:t xml:space="preserve">2.2 Test Data Strategy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Fixtures in tests/fixtures/ — vendor_map.csv, chart_of_accounts.csv, sample_invoices.csv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Factory functions for InvoiceLine, Prediction, RetrievedEvidence — not raw dicts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Parametrize edge cases: empty evidence, single evidence line, all-disagree evidence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network calls in unit tests — all external dependencies mocked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Deterministic: seed random where used, fixed timestamps in fixtures</w:t>
      </w:r>
    </w:p>
    <w:p/>
    <w:p>
      <w:pPr>
        <w:pStyle w:val="Heading2"/>
      </w:pPr>
      <w:r>
        <w:t xml:space="preserve">2.3 Coverage Gates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Minimum 90% line coverage enforced in CI — pytest-cov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Coverage report uploaded to Codecov on every PR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Coverage exclusions documented: __main__, migrations, generated code only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Branch coverage also measured — target &gt;80%</w:t>
      </w:r>
    </w:p>
    <w:p/>
    <w:p>
      <w:pPr>
        <w:pStyle w:val="Heading1"/>
      </w:pPr>
      <w:r>
        <w:t xml:space="preserve">3. Integration Tests — testcontainers</w:t>
      </w:r>
    </w:p>
    <w:p/>
    <w:p>
      <w:pPr>
        <w:pStyle w:val="Heading2"/>
      </w:pPr>
      <w:r>
        <w:t xml:space="preserve">3.1 Infrastructure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testcontainers-python: spins up real Postgres, Redis, Qdrant in Docker for each test session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mocking of infrastructure — tests run against real databases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Session-scoped containers: start once per test session, not per test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 seeded from fixtures before each test function — clean state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Parallel test execution: pytest-xdist, each worker gets its own schema</w:t>
      </w:r>
    </w:p>
    <w:p/>
    <w:p>
      <w:pPr>
        <w:pStyle w:val="Heading2"/>
      </w:pPr>
      <w:r>
        <w:t xml:space="preserve">3.2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pipeline: predict() + confirm() + write_back() against real Qdrant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Corpus seeding and retrieval — verify evidence returned matches expected GL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Confidence gate — verify auto-post vs review routing at threshold boundaries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ERP connector — verify posting payload format against iplicit schema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Sheets connector — verify sheet write format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Langfuse tracing — verify spans emitted with correct attributes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Multi-tenant isolation — verify tenant A cannot access tenant B corpus</w:t>
      </w:r>
    </w:p>
    <w:p/>
    <w:p>
      <w:pPr>
        <w:pStyle w:val="Heading1"/>
      </w:pPr>
      <w:r>
        <w:t xml:space="preserve">4. Contract Tests — Pact</w:t>
      </w:r>
    </w:p>
    <w:p/>
    <w:p>
      <w:r>
        <w:rPr>
          <w:rFonts w:ascii="Arial" w:cs="Arial" w:eastAsia="Arial" w:hAnsi="Arial"/>
          <w:sz w:val="20"/>
          <w:szCs w:val="20"/>
        </w:rPr>
        <w:t xml:space="preserve">Contract tests verify the API contract between frontend and backend is never broken without a version bump.</w:t>
      </w:r>
    </w:p>
    <w:p/>
    <w:p>
      <w:pPr>
        <w:pStyle w:val="ListParagraph"/>
        <w:numPr>
          <w:ilvl w:val="0"/>
          <w:numId w:val="2"/>
        </w:numPr>
        <w:spacing w:after="60"/>
      </w:pPr>
      <w:r>
        <w:t xml:space="preserve">Consumer (Next.js frontend) defines expected request/response shapes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Provider (FastAPI backend) verifies it satisfies all consumer contracts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Pact Broker: contracts published and versioned — blocks deploy if contract broken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API endpoint covered: predict, confirm, correct, batch, audit, performance, corpus,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 response shapes also contracted — frontend must handle all documented error codes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on every PR for both consumer and provider changes</w:t>
      </w:r>
    </w:p>
    <w:p/>
    <w:p>
      <w:pPr>
        <w:pStyle w:val="Heading1"/>
      </w:pPr>
      <w:r>
        <w:t xml:space="preserve">5. RAGAS Regression Tests</w:t>
      </w:r>
    </w:p>
    <w:p/>
    <w:p>
      <w:pPr>
        <w:pStyle w:val="Heading2"/>
      </w:pPr>
      <w:r>
        <w:t xml:space="preserve">5.1 Purpose</w:t>
      </w:r>
    </w:p>
    <w:p>
      <w:r>
        <w:rPr>
          <w:rFonts w:ascii="Arial" w:cs="Arial" w:eastAsia="Arial" w:hAnsi="Arial"/>
          <w:sz w:val="20"/>
          <w:szCs w:val="20"/>
        </w:rPr>
        <w:t xml:space="preserve">RAGAS regression tests are the most important gate in the pipeline. No change to the RAG core is merged unless all four RAGAS scores meet or exceed the established baseline.</w:t>
      </w:r>
    </w:p>
    <w:p/>
    <w:p>
      <w:pPr>
        <w:pStyle w:val="Heading2"/>
      </w:pPr>
      <w:r>
        <w:t xml:space="preserve">5.2 Golden Dataset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200 invoices with ground_truth_gl — data/ragas_golden_dataset.csv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Covers all 10 vendor categories, all 8 GL codes, all amount bands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Includes 20 hard-edge cases (unknown vendors) and 20 near-edge cases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Dataset is version-controlled and append-only — new cases added, never removed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Dataset seeded into a dedicated test Qdrant collection — not production</w:t>
      </w:r>
    </w:p>
    <w:p/>
    <w:p>
      <w:pPr>
        <w:pStyle w:val="Heading2"/>
      </w:pPr>
      <w:r>
        <w:t xml:space="preserve">5.3 Metrics and Baselines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rPr>
          <w:tblHeader/>
        </w:trPr>
        <w:tc>
          <w:tcPr>
            <w:tcW w:type="dxa" w:w="30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Metric</w:t>
            </w:r>
          </w:p>
        </w:tc>
        <w:tc>
          <w:tcPr>
            <w:tcW w:type="dxa" w:w="20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Baseline</w:t>
            </w:r>
          </w:p>
        </w:tc>
        <w:tc>
          <w:tcPr>
            <w:tcW w:type="dxa" w:w="20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Minimum gate</w:t>
            </w:r>
          </w:p>
        </w:tc>
        <w:tc>
          <w:tcPr>
            <w:tcW w:type="dxa" w:w="236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Answer Correctness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99%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97%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99%+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Context Recall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TBD after first run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Baseline - 3pp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&gt;90%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Context Precision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TBD after first run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Baseline - 3pp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&gt;85%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Faithfulness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TBD after first run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Baseline - 3pp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&gt;95%</w:t>
            </w:r>
          </w:p>
        </w:tc>
      </w:tr>
    </w:tbl>
    <w:p/>
    <w:p>
      <w:pPr>
        <w:pStyle w:val="Heading2"/>
      </w:pPr>
      <w:r>
        <w:t xml:space="preserve">5.4 CI Gate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RAGAS tests run on every PR that touches retrieval.py, confidence.py, embeddings.py, or pipeline.py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 blocked if any metric drops below minimum gate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Results published as PR comment with before/after comparison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Baseline updated manually after a deliberate improvement — requires tech lead approval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RAGAS test runtime: ~5 minutes on 200 invoices — acceptable for PR gate</w:t>
      </w:r>
    </w:p>
    <w:p/>
    <w:p>
      <w:pPr>
        <w:pStyle w:val="Heading1"/>
      </w:pPr>
      <w:r>
        <w:t xml:space="preserve">6. End-to-End Tests — Playwright</w:t>
      </w:r>
    </w:p>
    <w:p/>
    <w:p>
      <w:pPr>
        <w:pStyle w:val="Heading2"/>
      </w:pPr>
      <w:r>
        <w:t xml:space="preserve">6.1 Critical Paths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 — email/password, JWT issued, dashboard loads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Submit invoice — fill form, predict, see evidence panel, confirm, see in ERP ledger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Hard-edge invoice — load Zephyr Global Holdings, see cold-start badge, review routing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Batch processing — upload invoices_200_optimised.csv, run batch, see results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Override GL — predict invoice, override GL code, submit correction, see in audit trail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 AP — ask "What GL code does Meridian Facilities use?", see response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Performance tab — verify chart renders after batch run</w:t>
      </w:r>
    </w:p>
    <w:p/>
    <w:p>
      <w:pPr>
        <w:pStyle w:val="Heading2"/>
      </w:pPr>
      <w:r>
        <w:t xml:space="preserve">6.2 Test Environment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Dedicated staging environment — mirrors production, seeded with test tenant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tenant corpus: 500 pre-seeded points covering all vendors in golden dataset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Auth: test user per role — admin, ap_manager, ap_clerk, read_only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ERP connector: mock ERP endpoint in staging — no real ERP in tests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headless in CI, headed locally for debugging</w:t>
      </w:r>
    </w:p>
    <w:p/>
    <w:p>
      <w:pPr>
        <w:pStyle w:val="Heading1"/>
      </w:pPr>
      <w:r>
        <w:t xml:space="preserve">7. Load Tests — Locust</w:t>
      </w:r>
    </w:p>
    <w:p/>
    <w:p>
      <w:pPr>
        <w:pStyle w:val="Heading2"/>
      </w:pPr>
      <w:r>
        <w:t xml:space="preserve">7.1 Scenarios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Steady state: 100 concurrent users, 10k invoices/hour sustained for 30 minutes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Burst: 500 concurrent users for 5 minutes — simulates month-end batch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Batch processing: 10 simultaneous batch jobs of 200 invoices each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Mixed: 70% predictions, 20% confirmations, 10% audit queries</w:t>
      </w:r>
    </w:p>
    <w:p/>
    <w:p>
      <w:pPr>
        <w:pStyle w:val="Heading2"/>
      </w:pPr>
      <w:r>
        <w:t xml:space="preserve">7.2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rPr>
          <w:tblHeader/>
        </w:trPr>
        <w:tc>
          <w:tcPr>
            <w:tcW w:type="dxa" w:w="30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20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P95 latency</w:t>
            </w:r>
          </w:p>
        </w:tc>
        <w:tc>
          <w:tcPr>
            <w:tcW w:type="dxa" w:w="200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Error rate</w:t>
            </w:r>
          </w:p>
        </w:tc>
        <w:tc>
          <w:tcPr>
            <w:tcW w:type="dxa" w:w="2360"/>
            <w:shd w:color="E2E8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Throughput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Single prediction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&lt;200ms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&lt;0.1%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&gt;100 req/s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Batch 200 invoices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&lt;60s total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&lt;0.1%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Burst 500 users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&lt;500ms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&lt;1%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&gt;200 req/s</w:t>
            </w:r>
          </w:p>
        </w:tc>
      </w:tr>
      <w:tr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 query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&lt;100ms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&lt;0.1%</w:t>
            </w:r>
          </w:p>
        </w:tc>
        <w:tc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&gt;200 req/s</w:t>
            </w:r>
          </w:p>
        </w:tc>
      </w:tr>
    </w:tbl>
    <w:p/>
    <w:p>
      <w:pPr>
        <w:pStyle w:val="Heading1"/>
      </w:pPr>
      <w:r>
        <w:t xml:space="preserve">8. Chaos Tests — Chaos Toolkit</w:t>
      </w:r>
    </w:p>
    <w:p/>
    <w:p>
      <w:pPr>
        <w:pStyle w:val="Heading2"/>
      </w:pPr>
      <w:r>
        <w:t xml:space="preserve">8.1 Experiments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Qdrant unavailable — verify: all invoices routed to human review, no 500 errors, circuit breaker opens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OpenAI API unavailable — verify: cached embeddings used where available, queue builds, circuit breaker opens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ERP connector timeout — verify: postings queued, retry queue activates, alert fires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Redis unavailable — verify: cache misses fall through to source, latency increases but no errors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Postgres primary failover — verify: replica promoted, RTO &lt;1min, no data loss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 ECS task killed — verify: load balancer routes to remaining tasks, no dropped requests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Network partition between services — verify: graceful degradation, human review fallback</w:t>
      </w:r>
    </w:p>
    <w:p/>
    <w:p>
      <w:pPr>
        <w:pStyle w:val="Heading2"/>
      </w:pPr>
      <w:r>
        <w:t xml:space="preserve">8.2 Cadence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Monthly in staging — automated via Chaos Toolkit CI job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Quarterly in production-clone — full-scale environment, scheduled maintenance window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Results inform runbooks — every experiment outcome documented</w:t>
      </w:r>
    </w:p>
    <w:p/>
    <w:p>
      <w:pPr>
        <w:pStyle w:val="Heading1"/>
      </w:pPr>
      <w:r>
        <w:t xml:space="preserve">9. Test Data Management</w:t>
      </w:r>
    </w:p>
    <w:p/>
    <w:p>
      <w:pPr>
        <w:pStyle w:val="ListParagraph"/>
        <w:numPr>
          <w:ilvl w:val="0"/>
          <w:numId w:val="2"/>
        </w:numPr>
        <w:spacing w:after="60"/>
      </w:pPr>
      <w:r>
        <w:t xml:space="preserve">Golden dataset: version-controlled in data/ragas_golden_dataset.csv — never modified, only appended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Fixture factories: tests/factories.py — generate valid InvoiceLine, Prediction, Evidence objects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Seed scripts: make seed-test — populates test Qdrant collection and Postgres with known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tenant: isolated tenant_id for all automated tests — never overlaps production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PII: all test data is synthetic — no real vendor names or descriptions from production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Deterministic: fixed UUIDs and timestamps in fixtures — reproducible test failures</w:t>
      </w:r>
    </w:p>
    <w:p/>
    <w:p>
      <w:pPr>
        <w:pStyle w:val="Heading1"/>
      </w:pPr>
      <w:r>
        <w:t xml:space="preserve">10. CI/CD Pipeline — GitHub Actions</w:t>
      </w:r>
    </w:p>
    <w:p/>
    <w:p>
      <w:pPr>
        <w:pStyle w:val="Heading2"/>
      </w:pPr>
      <w:r>
        <w:t xml:space="preserve">10.1 PR Gate (Every PR)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Lint: ruff + mypy (Python), ESLint + TypeScript (frontend)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Unit tests: pytest + Vitest — fail on any failure or coverage drop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Integration tests: testcontainers — fail on any failure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Contract tests: pact — fail if contract broken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RAGAS regression: fail if any metric below minimum gate (RAG PRs only)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E2E tests: Playwright critical paths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Accessibility: axe-core WCAG 2.1 AA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Visual regression: Chromatic — report diffs, require approval for unexpected changes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Security: Bandit (Python), npm audit (Node) — fail on high/critical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Bundle size: next-bundle-analyzer — fail on &gt;10% increase</w:t>
      </w:r>
    </w:p>
    <w:p/>
    <w:p>
      <w:pPr>
        <w:pStyle w:val="Heading2"/>
      </w:pPr>
      <w:r>
        <w:t xml:space="preserve">10.2 Post-Merge (Main Branch)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 build and push to ECR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 to staging — ECS rolling update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Smoke tests: 5 critical API endpoints verified healthy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 test: 5-minute steady-state run — verify no regression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Notify team: Slack message with deploy status and load test results</w:t>
      </w:r>
    </w:p>
    <w:p/>
    <w:p>
      <w:pPr>
        <w:pStyle w:val="Heading2"/>
      </w:pPr>
      <w:r>
        <w:t xml:space="preserve">10.3 Pre-Release Gate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load test: 30-minute steady-state + 5-minute burst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Chaos test: Qdrant and Redis outage experiments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Security scan: OWASP ZAP against staging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Performance budget: Lighthouse CI against staging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 sign-off: tech lead approves before production deploy</w:t>
      </w:r>
    </w:p>
    <w:p/>
    <w:p>
      <w:r>
        <w:rPr>
          <w:rFonts w:ascii="Arial" w:cs="Arial" w:eastAsia="Arial" w:hAnsi="Arial"/>
          <w:color w:val="6B7280"/>
          <w:sz w:val="18"/>
          <w:szCs w:val="18"/>
        </w:rPr>
        <w:t xml:space="preserve">Contact: miles.waite@akkoda.com  |  github.com/Milesy1/ap-automation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2026-10-02T17:35:46.289Z</dcterms:created>
  <dcterms:modified xsi:type="dcterms:W3CDTF">2026-10-02T17:35:46.289Z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