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AI Compliance and Governance</w:t>
      </w:r>
    </w:p>
    <w:p>
      <w:r>
        <w:rPr>
          <w:rFonts w:ascii="Arial" w:cs="Arial" w:eastAsia="Arial" w:hAnsi="Arial"/>
          <w:sz w:val="20"/>
          <w:szCs w:val="20"/>
        </w:rPr>
        <w:t xml:space="preserve">Comprehensive AI compliance and governance specification covering EU AI Act risk assessment, model cards, explainability reports, GDPR right to erasure, transparency obligations, Anthropic usage policy compliance, and AI incident response plan.</w:t>
      </w:r>
    </w:p>
    <w:p>
      <w:r>
        <w:rPr>
          <w:rFonts w:ascii="Arial" w:cs="Arial" w:eastAsia="Arial" w:hAnsi="Arial"/>
          <w:sz w:val="20"/>
          <w:szCs w:val="20"/>
        </w:rPr>
        <w:t xml:space="preserve">October 2026 | Form Consulting Services | Akkoda</w:t>
      </w:r>
    </w:p>
    <w:p/>
    <w:p>
      <w:pPr>
        <w:pStyle w:val="Heading1"/>
      </w:pPr>
      <w:r>
        <w:t xml:space="preserve">1. EU AI Act Risk Assessment</w:t>
      </w:r>
    </w:p>
    <w:p/>
    <w:p>
      <w:pPr>
        <w:pStyle w:val="Heading2"/>
      </w:pPr>
      <w:r>
        <w:t xml:space="preserve">1.1 System Classification</w:t>
      </w:r>
    </w:p>
    <w:p>
      <w:r>
        <w:rPr>
          <w:rFonts w:ascii="Arial" w:cs="Arial" w:eastAsia="Arial" w:hAnsi="Arial"/>
          <w:sz w:val="20"/>
          <w:szCs w:val="20"/>
        </w:rPr>
        <w:t xml:space="preserve">The AP Automation system is an AI system that makes automated decisions affecting financial transactions. The EU AI Act (Regulation 2024/1689, in force from August 2024) requires deployers to assess the risk classification of AI systems they use.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Assessment dimension</w:t>
            </w:r>
          </w:p>
        </w:tc>
        <w:tc>
          <w:tcPr>
            <w:tcW w:type="dxa" w:w="6360"/>
            <w:shd w:color="E2E8F0" w:val="clear"/>
          </w:tcPr>
          <w:p>
            <w:r>
              <w:rPr>
                <w:rFonts w:ascii="Arial" w:cs="Arial" w:eastAsia="Arial" w:hAnsi="Arial"/>
                <w:b/>
                <w:bCs/>
                <w:sz w:val="18"/>
                <w:szCs w:val="18"/>
              </w:rPr>
              <w:t xml:space="preserve">Finding</w:t>
            </w:r>
          </w:p>
        </w:tc>
      </w:tr>
      <w:tr>
        <w:tc>
          <w:p>
            <w:r>
              <w:rPr>
                <w:rFonts w:ascii="Arial" w:cs="Arial" w:eastAsia="Arial" w:hAnsi="Arial"/>
                <w:b w:val="false"/>
                <w:bCs w:val="false"/>
                <w:sz w:val="18"/>
                <w:szCs w:val="18"/>
              </w:rPr>
              <w:t xml:space="preserve">System type</w:t>
            </w:r>
          </w:p>
        </w:tc>
        <w:tc>
          <w:p>
            <w:r>
              <w:rPr>
                <w:rFonts w:ascii="Arial" w:cs="Arial" w:eastAsia="Arial" w:hAnsi="Arial"/>
                <w:b w:val="false"/>
                <w:bCs w:val="false"/>
                <w:sz w:val="18"/>
                <w:szCs w:val="18"/>
              </w:rPr>
              <w:t xml:space="preserve">AI system that processes invoices and recommends or executes GL coding decisions</w:t>
            </w:r>
          </w:p>
        </w:tc>
      </w:tr>
      <w:tr>
        <w:tc>
          <w:p>
            <w:r>
              <w:rPr>
                <w:rFonts w:ascii="Arial" w:cs="Arial" w:eastAsia="Arial" w:hAnsi="Arial"/>
                <w:b w:val="false"/>
                <w:bCs w:val="false"/>
                <w:sz w:val="18"/>
                <w:szCs w:val="18"/>
              </w:rPr>
              <w:t xml:space="preserve">Degree of automation</w:t>
            </w:r>
          </w:p>
        </w:tc>
        <w:tc>
          <w:p>
            <w:r>
              <w:rPr>
                <w:rFonts w:ascii="Arial" w:cs="Arial" w:eastAsia="Arial" w:hAnsi="Arial"/>
                <w:b w:val="false"/>
                <w:bCs w:val="false"/>
                <w:sz w:val="18"/>
                <w:szCs w:val="18"/>
              </w:rPr>
              <w:t xml:space="preserve">Hybrid: auto-posts high-confidence invoices, routes low-confidence to human review</w:t>
            </w:r>
          </w:p>
        </w:tc>
      </w:tr>
      <w:tr>
        <w:tc>
          <w:p>
            <w:r>
              <w:rPr>
                <w:rFonts w:ascii="Arial" w:cs="Arial" w:eastAsia="Arial" w:hAnsi="Arial"/>
                <w:b w:val="false"/>
                <w:bCs w:val="false"/>
                <w:sz w:val="18"/>
                <w:szCs w:val="18"/>
              </w:rPr>
              <w:t xml:space="preserve">Human oversight</w:t>
            </w:r>
          </w:p>
        </w:tc>
        <w:tc>
          <w:p>
            <w:r>
              <w:rPr>
                <w:rFonts w:ascii="Arial" w:cs="Arial" w:eastAsia="Arial" w:hAnsi="Arial"/>
                <w:b w:val="false"/>
                <w:bCs w:val="false"/>
                <w:sz w:val="18"/>
                <w:szCs w:val="18"/>
              </w:rPr>
              <w:t xml:space="preserve">Present and structural: confidence gate enforces human review; clerks confirm or correct all routed invoices</w:t>
            </w:r>
          </w:p>
        </w:tc>
      </w:tr>
      <w:tr>
        <w:tc>
          <w:p>
            <w:r>
              <w:rPr>
                <w:rFonts w:ascii="Arial" w:cs="Arial" w:eastAsia="Arial" w:hAnsi="Arial"/>
                <w:b w:val="false"/>
                <w:bCs w:val="false"/>
                <w:sz w:val="18"/>
                <w:szCs w:val="18"/>
              </w:rPr>
              <w:t xml:space="preserve">Financial impact</w:t>
            </w:r>
          </w:p>
        </w:tc>
        <w:tc>
          <w:p>
            <w:r>
              <w:rPr>
                <w:rFonts w:ascii="Arial" w:cs="Arial" w:eastAsia="Arial" w:hAnsi="Arial"/>
                <w:b w:val="false"/>
                <w:bCs w:val="false"/>
                <w:sz w:val="18"/>
                <w:szCs w:val="18"/>
              </w:rPr>
              <w:t xml:space="preserve">Affects accounting ledger entries, VAT treatment, cost centre allocation</w:t>
            </w:r>
          </w:p>
        </w:tc>
      </w:tr>
      <w:tr>
        <w:tc>
          <w:p>
            <w:r>
              <w:rPr>
                <w:rFonts w:ascii="Arial" w:cs="Arial" w:eastAsia="Arial" w:hAnsi="Arial"/>
                <w:b w:val="false"/>
                <w:bCs w:val="false"/>
                <w:sz w:val="18"/>
                <w:szCs w:val="18"/>
              </w:rPr>
              <w:t xml:space="preserve">Risk classification</w:t>
            </w:r>
          </w:p>
        </w:tc>
        <w:tc>
          <w:p>
            <w:r>
              <w:rPr>
                <w:rFonts w:ascii="Arial" w:cs="Arial" w:eastAsia="Arial" w:hAnsi="Arial"/>
                <w:b w:val="false"/>
                <w:bCs w:val="false"/>
                <w:sz w:val="18"/>
                <w:szCs w:val="18"/>
              </w:rPr>
              <w:t xml:space="preserve">Limited risk (Article 50) -- AI system that interacts with humans and makes recommendations. Not high-risk under Annex III (does not affect credit decisions, employment, essential services, law enforcement, or critical infrastructure)</w:t>
            </w:r>
          </w:p>
        </w:tc>
      </w:tr>
      <w:tr>
        <w:tc>
          <w:p>
            <w:r>
              <w:rPr>
                <w:rFonts w:ascii="Arial" w:cs="Arial" w:eastAsia="Arial" w:hAnsi="Arial"/>
                <w:b w:val="false"/>
                <w:bCs w:val="false"/>
                <w:sz w:val="18"/>
                <w:szCs w:val="18"/>
              </w:rPr>
              <w:t xml:space="preserve">Transparency obligations</w:t>
            </w:r>
          </w:p>
        </w:tc>
        <w:tc>
          <w:p>
            <w:r>
              <w:rPr>
                <w:rFonts w:ascii="Arial" w:cs="Arial" w:eastAsia="Arial" w:hAnsi="Arial"/>
                <w:b w:val="false"/>
                <w:bCs w:val="false"/>
                <w:sz w:val="18"/>
                <w:szCs w:val="18"/>
              </w:rPr>
              <w:t xml:space="preserve">Article 50: users must be informed they are interacting with an AI system. Disclosure required at first login.</w:t>
            </w:r>
          </w:p>
        </w:tc>
      </w:tr>
    </w:tbl>
    <w:p/>
    <w:p>
      <w:r>
        <w:rPr>
          <w:rFonts w:ascii="Arial" w:cs="Arial" w:eastAsia="Arial" w:hAnsi="Arial"/>
          <w:i/>
          <w:iCs/>
          <w:color w:val="6B7280"/>
          <w:sz w:val="18"/>
          <w:szCs w:val="18"/>
        </w:rPr>
        <w:t xml:space="preserve">This assessment should be reviewed annually and whenever the system is materially changed. Clients who are EU-based deployers must maintain their own register of AI systems in use (Article 26).</w:t>
      </w:r>
    </w:p>
    <w:p/>
    <w:p>
      <w:pPr>
        <w:pStyle w:val="Heading2"/>
      </w:pPr>
      <w:r>
        <w:t xml:space="preserve">1.2 Transparency Obligations (Article 50)</w:t>
      </w:r>
    </w:p>
    <w:p>
      <w:r>
        <w:rPr>
          <w:rFonts w:ascii="Arial" w:cs="Arial" w:eastAsia="Arial" w:hAnsi="Arial"/>
          <w:sz w:val="20"/>
          <w:szCs w:val="20"/>
        </w:rPr>
        <w:t xml:space="preserve">The AP Automation system must disclose to AP clerks that they are interacting with an AI system. This disclosure is not optional.</w:t>
      </w:r>
    </w:p>
    <w:p/>
    <w:p>
      <w:pPr>
        <w:pStyle w:val="ListParagraph"/>
        <w:numPr>
          <w:ilvl w:val="0"/>
          <w:numId w:val="2"/>
        </w:numPr>
        <w:spacing w:after="60"/>
      </w:pPr>
      <w:r>
        <w:t xml:space="preserve">Disclosure trigger: first login after go-live, and after any material system update</w:t>
      </w:r>
    </w:p>
    <w:p>
      <w:pPr>
        <w:pStyle w:val="ListParagraph"/>
        <w:numPr>
          <w:ilvl w:val="0"/>
          <w:numId w:val="2"/>
        </w:numPr>
        <w:spacing w:after="60"/>
      </w:pPr>
      <w:r>
        <w:t xml:space="preserve">Disclosure channel: on-boarding modal in the review queue UI -- cannot be dismissed without acknowledgement</w:t>
      </w:r>
    </w:p>
    <w:p>
      <w:pPr>
        <w:pStyle w:val="ListParagraph"/>
        <w:numPr>
          <w:ilvl w:val="0"/>
          <w:numId w:val="2"/>
        </w:numPr>
        <w:spacing w:after="60"/>
      </w:pPr>
      <w:r>
        <w:t xml:space="preserve">Disclosure text (agreed with client legal team in onboarding Phase 1):</w:t>
      </w:r>
    </w:p>
    <w:p>
      <w:pPr>
        <w:pStyle w:val="ListParagraph"/>
        <w:numPr>
          <w:ilvl w:val="1"/>
          <w:numId w:val="2"/>
        </w:numPr>
        <w:spacing w:after="60"/>
      </w:pPr>
      <w:r>
        <w:t xml:space="preserve">"This AP system uses AI to predict GL codes for non-PO invoices. Predictions are based on your organisation's confirmed invoice history. The system may auto-post invoices it is highly confident about. You remain responsible for confirming or correcting any invoice routed to you for review."</w:t>
      </w:r>
    </w:p>
    <w:p>
      <w:pPr>
        <w:pStyle w:val="ListParagraph"/>
        <w:numPr>
          <w:ilvl w:val="0"/>
          <w:numId w:val="2"/>
        </w:numPr>
        <w:spacing w:after="60"/>
      </w:pPr>
      <w:r>
        <w:t xml:space="preserve">Disclosure acknowledgement stored in audit log: user_id, disclosed_at, disclosure_version</w:t>
      </w:r>
    </w:p>
    <w:p>
      <w:pPr>
        <w:pStyle w:val="ListParagraph"/>
        <w:numPr>
          <w:ilvl w:val="0"/>
          <w:numId w:val="2"/>
        </w:numPr>
        <w:spacing w:after="60"/>
      </w:pPr>
      <w:r>
        <w:t xml:space="preserve">Disclosure version incremented on material system changes</w:t>
      </w:r>
    </w:p>
    <w:p>
      <w:pPr>
        <w:pStyle w:val="ListParagraph"/>
        <w:numPr>
          <w:ilvl w:val="0"/>
          <w:numId w:val="2"/>
        </w:numPr>
        <w:spacing w:after="60"/>
      </w:pPr>
      <w:r>
        <w:t xml:space="preserve">Disclosure text must not use technical jargon -- plain English required</w:t>
      </w:r>
    </w:p>
    <w:p/>
    <w:p>
      <w:pPr>
        <w:pStyle w:val="Heading2"/>
      </w:pPr>
      <w:r>
        <w:t xml:space="preserve">1.3 Deployer Obligations (Article 26)</w:t>
      </w:r>
    </w:p>
    <w:p>
      <w:r>
        <w:rPr>
          <w:rFonts w:ascii="Arial" w:cs="Arial" w:eastAsia="Arial" w:hAnsi="Arial"/>
          <w:sz w:val="20"/>
          <w:szCs w:val="20"/>
        </w:rPr>
        <w:t xml:space="preserve">Clients deploying the AP Automation system are "deployers" under the EU AI Act and have the following obligations:</w:t>
      </w:r>
    </w:p>
    <w:p/>
    <w:p>
      <w:pPr>
        <w:pStyle w:val="ListParagraph"/>
        <w:numPr>
          <w:ilvl w:val="0"/>
          <w:numId w:val="2"/>
        </w:numPr>
        <w:spacing w:after="60"/>
      </w:pPr>
      <w:r>
        <w:t xml:space="preserve">Maintain a register of AI systems in use -- AP Automation must be included</w:t>
      </w:r>
    </w:p>
    <w:p>
      <w:pPr>
        <w:pStyle w:val="ListParagraph"/>
        <w:numPr>
          <w:ilvl w:val="0"/>
          <w:numId w:val="2"/>
        </w:numPr>
        <w:spacing w:after="60"/>
      </w:pPr>
      <w:r>
        <w:t xml:space="preserve">Ensure human oversight is in place -- the confidence gate and review queue satisfy this</w:t>
      </w:r>
    </w:p>
    <w:p>
      <w:pPr>
        <w:pStyle w:val="ListParagraph"/>
        <w:numPr>
          <w:ilvl w:val="0"/>
          <w:numId w:val="2"/>
        </w:numPr>
        <w:spacing w:after="60"/>
      </w:pPr>
      <w:r>
        <w:t xml:space="preserve">Monitor the system for risks and report incidents to Akkoda</w:t>
      </w:r>
    </w:p>
    <w:p>
      <w:pPr>
        <w:pStyle w:val="ListParagraph"/>
        <w:numPr>
          <w:ilvl w:val="0"/>
          <w:numId w:val="2"/>
        </w:numPr>
        <w:spacing w:after="60"/>
      </w:pPr>
      <w:r>
        <w:t xml:space="preserve">Cooperate with Akkoda on any regulatory inspection or audit</w:t>
      </w:r>
    </w:p>
    <w:p>
      <w:pPr>
        <w:pStyle w:val="ListParagraph"/>
        <w:numPr>
          <w:ilvl w:val="0"/>
          <w:numId w:val="2"/>
        </w:numPr>
        <w:spacing w:after="60"/>
      </w:pPr>
      <w:r>
        <w:t xml:space="preserve">Provide employees (AP clerks) with sufficient AI literacy training to understand the system</w:t>
      </w:r>
    </w:p>
    <w:p>
      <w:r>
        <w:rPr>
          <w:rFonts w:ascii="Arial" w:cs="Arial" w:eastAsia="Arial" w:hAnsi="Arial"/>
          <w:i/>
          <w:iCs/>
          <w:color w:val="6B7280"/>
          <w:sz w:val="18"/>
          <w:szCs w:val="18"/>
        </w:rPr>
        <w:t xml:space="preserve">Akkoda provides the model card and explainability report to support the client's deployer obligations. Clients should not deploy the system without completing the onboarding process, including the AI Act disclosure.</w:t>
      </w:r>
    </w:p>
    <w:p/>
    <w:p>
      <w:pPr>
        <w:pStyle w:val="Heading1"/>
      </w:pPr>
      <w:r>
        <w:t xml:space="preserve">2. Model Cards</w:t>
      </w:r>
    </w:p>
    <w:p>
      <w:r>
        <w:rPr>
          <w:rFonts w:ascii="Arial" w:cs="Arial" w:eastAsia="Arial" w:hAnsi="Arial"/>
          <w:sz w:val="20"/>
          <w:szCs w:val="20"/>
        </w:rPr>
        <w:t xml:space="preserve">A model card documents the behaviour, capabilities, limitations, and appropriate use of each AI model used in the system. Model cards are provided to clients in the go-live report and updated annually.</w:t>
      </w:r>
    </w:p>
    <w:p/>
    <w:p>
      <w:pPr>
        <w:pStyle w:val="Heading2"/>
      </w:pPr>
      <w:r>
        <w:t xml:space="preserve">2.1 OpenAI text-embedding-3-small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Attribute</w:t>
            </w:r>
          </w:p>
        </w:tc>
        <w:tc>
          <w:tcPr>
            <w:tcW w:type="dxa" w:w="6360"/>
            <w:shd w:color="E2E8F0" w:val="clear"/>
          </w:tcPr>
          <w:p>
            <w:r>
              <w:rPr>
                <w:rFonts w:ascii="Arial" w:cs="Arial" w:eastAsia="Arial" w:hAnsi="Arial"/>
                <w:b/>
                <w:bCs/>
                <w:sz w:val="18"/>
                <w:szCs w:val="18"/>
              </w:rPr>
              <w:t xml:space="preserve">Detail</w:t>
            </w:r>
          </w:p>
        </w:tc>
      </w:tr>
      <w:tr>
        <w:tc>
          <w:p>
            <w:r>
              <w:rPr>
                <w:rFonts w:ascii="Arial" w:cs="Arial" w:eastAsia="Arial" w:hAnsi="Arial"/>
                <w:b w:val="false"/>
                <w:bCs w:val="false"/>
                <w:sz w:val="18"/>
                <w:szCs w:val="18"/>
              </w:rPr>
              <w:t xml:space="preserve">Provider</w:t>
            </w:r>
          </w:p>
        </w:tc>
        <w:tc>
          <w:p>
            <w:r>
              <w:rPr>
                <w:rFonts w:ascii="Arial" w:cs="Arial" w:eastAsia="Arial" w:hAnsi="Arial"/>
                <w:b w:val="false"/>
                <w:bCs w:val="false"/>
                <w:sz w:val="18"/>
                <w:szCs w:val="18"/>
              </w:rPr>
              <w:t xml:space="preserve">OpenAI</w:t>
            </w:r>
          </w:p>
        </w:tc>
      </w:tr>
      <w:tr>
        <w:tc>
          <w:p>
            <w:r>
              <w:rPr>
                <w:rFonts w:ascii="Arial" w:cs="Arial" w:eastAsia="Arial" w:hAnsi="Arial"/>
                <w:b w:val="false"/>
                <w:bCs w:val="false"/>
                <w:sz w:val="18"/>
                <w:szCs w:val="18"/>
              </w:rPr>
              <w:t xml:space="preserve">Model version</w:t>
            </w:r>
          </w:p>
        </w:tc>
        <w:tc>
          <w:p>
            <w:r>
              <w:rPr>
                <w:rFonts w:ascii="Arial" w:cs="Arial" w:eastAsia="Arial" w:hAnsi="Arial"/>
                <w:b w:val="false"/>
                <w:bCs w:val="false"/>
                <w:sz w:val="18"/>
                <w:szCs w:val="18"/>
              </w:rPr>
              <w:t xml:space="preserve">text-embedding-3-small (version as of October 2026)</w:t>
            </w:r>
          </w:p>
        </w:tc>
      </w:tr>
      <w:tr>
        <w:tc>
          <w:p>
            <w:r>
              <w:rPr>
                <w:rFonts w:ascii="Arial" w:cs="Arial" w:eastAsia="Arial" w:hAnsi="Arial"/>
                <w:b w:val="false"/>
                <w:bCs w:val="false"/>
                <w:sz w:val="18"/>
                <w:szCs w:val="18"/>
              </w:rPr>
              <w:t xml:space="preserve">Purpose in system</w:t>
            </w:r>
          </w:p>
        </w:tc>
        <w:tc>
          <w:p>
            <w:r>
              <w:rPr>
                <w:rFonts w:ascii="Arial" w:cs="Arial" w:eastAsia="Arial" w:hAnsi="Arial"/>
                <w:b w:val="false"/>
                <w:bCs w:val="false"/>
                <w:sz w:val="18"/>
                <w:szCs w:val="18"/>
              </w:rPr>
              <w:t xml:space="preserve">Embeds invoice descriptions into 1536-dimensional vectors for semantic retrieval</w:t>
            </w:r>
          </w:p>
        </w:tc>
      </w:tr>
      <w:tr>
        <w:tc>
          <w:p>
            <w:r>
              <w:rPr>
                <w:rFonts w:ascii="Arial" w:cs="Arial" w:eastAsia="Arial" w:hAnsi="Arial"/>
                <w:b w:val="false"/>
                <w:bCs w:val="false"/>
                <w:sz w:val="18"/>
                <w:szCs w:val="18"/>
              </w:rPr>
              <w:t xml:space="preserve">Data sent</w:t>
            </w:r>
          </w:p>
        </w:tc>
        <w:tc>
          <w:p>
            <w:r>
              <w:rPr>
                <w:rFonts w:ascii="Arial" w:cs="Arial" w:eastAsia="Arial" w:hAnsi="Arial"/>
                <w:b w:val="false"/>
                <w:bCs w:val="false"/>
                <w:sz w:val="18"/>
                <w:szCs w:val="18"/>
              </w:rPr>
              <w:t xml:space="preserve">Invoice description text only. No vendor names, amounts, or personal data sent to OpenAI API.</w:t>
            </w:r>
          </w:p>
        </w:tc>
      </w:tr>
      <w:tr>
        <w:tc>
          <w:p>
            <w:r>
              <w:rPr>
                <w:rFonts w:ascii="Arial" w:cs="Arial" w:eastAsia="Arial" w:hAnsi="Arial"/>
                <w:b w:val="false"/>
                <w:bCs w:val="false"/>
                <w:sz w:val="18"/>
                <w:szCs w:val="18"/>
              </w:rPr>
              <w:t xml:space="preserve">Data retention by provider</w:t>
            </w:r>
          </w:p>
        </w:tc>
        <w:tc>
          <w:p>
            <w:r>
              <w:rPr>
                <w:rFonts w:ascii="Arial" w:cs="Arial" w:eastAsia="Arial" w:hAnsi="Arial"/>
                <w:b w:val="false"/>
                <w:bCs w:val="false"/>
                <w:sz w:val="18"/>
                <w:szCs w:val="18"/>
              </w:rPr>
              <w:t xml:space="preserve">OpenAI does not retain API inputs beyond the request (per OpenAI API data processing agreement)</w:t>
            </w:r>
          </w:p>
        </w:tc>
      </w:tr>
      <w:tr>
        <w:tc>
          <w:p>
            <w:r>
              <w:rPr>
                <w:rFonts w:ascii="Arial" w:cs="Arial" w:eastAsia="Arial" w:hAnsi="Arial"/>
                <w:b w:val="false"/>
                <w:bCs w:val="false"/>
                <w:sz w:val="18"/>
                <w:szCs w:val="18"/>
              </w:rPr>
              <w:t xml:space="preserve">Limitations</w:t>
            </w:r>
          </w:p>
        </w:tc>
        <w:tc>
          <w:p>
            <w:r>
              <w:rPr>
                <w:rFonts w:ascii="Arial" w:cs="Arial" w:eastAsia="Arial" w:hAnsi="Arial"/>
                <w:b w:val="false"/>
                <w:bCs w:val="false"/>
                <w:sz w:val="18"/>
                <w:szCs w:val="18"/>
              </w:rPr>
              <w:t xml:space="preserve">General-purpose model -- may not optimally represent domain-specific invoice terminology. Embedding fine-tuning recommended for high-volume deployments.</w:t>
            </w:r>
          </w:p>
        </w:tc>
      </w:tr>
      <w:tr>
        <w:tc>
          <w:p>
            <w:r>
              <w:rPr>
                <w:rFonts w:ascii="Arial" w:cs="Arial" w:eastAsia="Arial" w:hAnsi="Arial"/>
                <w:b w:val="false"/>
                <w:bCs w:val="false"/>
                <w:sz w:val="18"/>
                <w:szCs w:val="18"/>
              </w:rPr>
              <w:t xml:space="preserve">Known failure modes</w:t>
            </w:r>
          </w:p>
        </w:tc>
        <w:tc>
          <w:p>
            <w:r>
              <w:rPr>
                <w:rFonts w:ascii="Arial" w:cs="Arial" w:eastAsia="Arial" w:hAnsi="Arial"/>
                <w:b w:val="false"/>
                <w:bCs w:val="false"/>
                <w:sz w:val="18"/>
                <w:szCs w:val="18"/>
              </w:rPr>
              <w:t xml:space="preserve">Short descriptions (&lt;3 words) produce low-quality embeddings -- minimum evidence gate mitigates this</w:t>
            </w:r>
          </w:p>
        </w:tc>
      </w:tr>
      <w:tr>
        <w:tc>
          <w:p>
            <w:r>
              <w:rPr>
                <w:rFonts w:ascii="Arial" w:cs="Arial" w:eastAsia="Arial" w:hAnsi="Arial"/>
                <w:b w:val="false"/>
                <w:bCs w:val="false"/>
                <w:sz w:val="18"/>
                <w:szCs w:val="18"/>
              </w:rPr>
              <w:t xml:space="preserve">Version tracking</w:t>
            </w:r>
          </w:p>
        </w:tc>
        <w:tc>
          <w:p>
            <w:r>
              <w:rPr>
                <w:rFonts w:ascii="Arial" w:cs="Arial" w:eastAsia="Arial" w:hAnsi="Arial"/>
                <w:b w:val="false"/>
                <w:bCs w:val="false"/>
                <w:sz w:val="18"/>
                <w:szCs w:val="18"/>
              </w:rPr>
              <w:t xml:space="preserve">Model version stored on every corpus point. Re-embedding triggered on version update.</w:t>
            </w:r>
          </w:p>
        </w:tc>
      </w:tr>
    </w:tbl>
    <w:p/>
    <w:p>
      <w:pPr>
        <w:pStyle w:val="Heading2"/>
      </w:pPr>
      <w:r>
        <w:t xml:space="preserve">2.2 Anthropic claude-haiku-5-5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Attribute</w:t>
            </w:r>
          </w:p>
        </w:tc>
        <w:tc>
          <w:tcPr>
            <w:tcW w:type="dxa" w:w="6360"/>
            <w:shd w:color="E2E8F0" w:val="clear"/>
          </w:tcPr>
          <w:p>
            <w:r>
              <w:rPr>
                <w:rFonts w:ascii="Arial" w:cs="Arial" w:eastAsia="Arial" w:hAnsi="Arial"/>
                <w:b/>
                <w:bCs/>
                <w:sz w:val="18"/>
                <w:szCs w:val="18"/>
              </w:rPr>
              <w:t xml:space="preserve">Detail</w:t>
            </w:r>
          </w:p>
        </w:tc>
      </w:tr>
      <w:tr>
        <w:tc>
          <w:p>
            <w:r>
              <w:rPr>
                <w:rFonts w:ascii="Arial" w:cs="Arial" w:eastAsia="Arial" w:hAnsi="Arial"/>
                <w:b w:val="false"/>
                <w:bCs w:val="false"/>
                <w:sz w:val="18"/>
                <w:szCs w:val="18"/>
              </w:rPr>
              <w:t xml:space="preserve">Provider</w:t>
            </w:r>
          </w:p>
        </w:tc>
        <w:tc>
          <w:p>
            <w:r>
              <w:rPr>
                <w:rFonts w:ascii="Arial" w:cs="Arial" w:eastAsia="Arial" w:hAnsi="Arial"/>
                <w:b w:val="false"/>
                <w:bCs w:val="false"/>
                <w:sz w:val="18"/>
                <w:szCs w:val="18"/>
              </w:rPr>
              <w:t xml:space="preserve">Anthropic</w:t>
            </w:r>
          </w:p>
        </w:tc>
      </w:tr>
      <w:tr>
        <w:tc>
          <w:p>
            <w:r>
              <w:rPr>
                <w:rFonts w:ascii="Arial" w:cs="Arial" w:eastAsia="Arial" w:hAnsi="Arial"/>
                <w:b w:val="false"/>
                <w:bCs w:val="false"/>
                <w:sz w:val="18"/>
                <w:szCs w:val="18"/>
              </w:rPr>
              <w:t xml:space="preserve">Model version</w:t>
            </w:r>
          </w:p>
        </w:tc>
        <w:tc>
          <w:p>
            <w:r>
              <w:rPr>
                <w:rFonts w:ascii="Arial" w:cs="Arial" w:eastAsia="Arial" w:hAnsi="Arial"/>
                <w:b w:val="false"/>
                <w:bCs w:val="false"/>
                <w:sz w:val="18"/>
                <w:szCs w:val="18"/>
              </w:rPr>
              <w:t xml:space="preserve">claude-haiku-5-5 (pinned -- not "latest")</w:t>
            </w:r>
          </w:p>
        </w:tc>
      </w:tr>
      <w:tr>
        <w:tc>
          <w:p>
            <w:r>
              <w:rPr>
                <w:rFonts w:ascii="Arial" w:cs="Arial" w:eastAsia="Arial" w:hAnsi="Arial"/>
                <w:b w:val="false"/>
                <w:bCs w:val="false"/>
                <w:sz w:val="18"/>
                <w:szCs w:val="18"/>
              </w:rPr>
              <w:t xml:space="preserve">Purpose in system</w:t>
            </w:r>
          </w:p>
        </w:tc>
        <w:tc>
          <w:p>
            <w:r>
              <w:rPr>
                <w:rFonts w:ascii="Arial" w:cs="Arial" w:eastAsia="Arial" w:hAnsi="Arial"/>
                <w:b w:val="false"/>
                <w:bCs w:val="false"/>
                <w:sz w:val="18"/>
                <w:szCs w:val="18"/>
              </w:rPr>
              <w:t xml:space="preserve">Generates plain-English explanation for low-confidence invoices routed to human review. Also used for natural language rule parsing.</w:t>
            </w:r>
          </w:p>
        </w:tc>
      </w:tr>
      <w:tr>
        <w:tc>
          <w:p>
            <w:r>
              <w:rPr>
                <w:rFonts w:ascii="Arial" w:cs="Arial" w:eastAsia="Arial" w:hAnsi="Arial"/>
                <w:b w:val="false"/>
                <w:bCs w:val="false"/>
                <w:sz w:val="18"/>
                <w:szCs w:val="18"/>
              </w:rPr>
              <w:t xml:space="preserve">Data sent</w:t>
            </w:r>
          </w:p>
        </w:tc>
        <w:tc>
          <w:p>
            <w:r>
              <w:rPr>
                <w:rFonts w:ascii="Arial" w:cs="Arial" w:eastAsia="Arial" w:hAnsi="Arial"/>
                <w:b w:val="false"/>
                <w:bCs w:val="false"/>
                <w:sz w:val="18"/>
                <w:szCs w:val="18"/>
              </w:rPr>
              <w:t xml:space="preserve">Invoice description, retrieved evidence lines (anonymised vendor IDs used internally). No personal data sent.</w:t>
            </w:r>
          </w:p>
        </w:tc>
      </w:tr>
      <w:tr>
        <w:tc>
          <w:p>
            <w:r>
              <w:rPr>
                <w:rFonts w:ascii="Arial" w:cs="Arial" w:eastAsia="Arial" w:hAnsi="Arial"/>
                <w:b w:val="false"/>
                <w:bCs w:val="false"/>
                <w:sz w:val="18"/>
                <w:szCs w:val="18"/>
              </w:rPr>
              <w:t xml:space="preserve">Data retention by provider</w:t>
            </w:r>
          </w:p>
        </w:tc>
        <w:tc>
          <w:p>
            <w:r>
              <w:rPr>
                <w:rFonts w:ascii="Arial" w:cs="Arial" w:eastAsia="Arial" w:hAnsi="Arial"/>
                <w:b w:val="false"/>
                <w:bCs w:val="false"/>
                <w:sz w:val="18"/>
                <w:szCs w:val="18"/>
              </w:rPr>
              <w:t xml:space="preserve">Anthropic does not retain API inputs for model training (per Anthropic API usage policy)</w:t>
            </w:r>
          </w:p>
        </w:tc>
      </w:tr>
      <w:tr>
        <w:tc>
          <w:p>
            <w:r>
              <w:rPr>
                <w:rFonts w:ascii="Arial" w:cs="Arial" w:eastAsia="Arial" w:hAnsi="Arial"/>
                <w:b w:val="false"/>
                <w:bCs w:val="false"/>
                <w:sz w:val="18"/>
                <w:szCs w:val="18"/>
              </w:rPr>
              <w:t xml:space="preserve">Limitations</w:t>
            </w:r>
          </w:p>
        </w:tc>
        <w:tc>
          <w:p>
            <w:r>
              <w:rPr>
                <w:rFonts w:ascii="Arial" w:cs="Arial" w:eastAsia="Arial" w:hAnsi="Arial"/>
                <w:b w:val="false"/>
                <w:bCs w:val="false"/>
                <w:sz w:val="18"/>
                <w:szCs w:val="18"/>
              </w:rPr>
              <w:t xml:space="preserve">Does not make coding decisions. Does not have access to the full corpus -- only retrieved evidence lines.</w:t>
            </w:r>
          </w:p>
        </w:tc>
      </w:tr>
      <w:tr>
        <w:tc>
          <w:p>
            <w:r>
              <w:rPr>
                <w:rFonts w:ascii="Arial" w:cs="Arial" w:eastAsia="Arial" w:hAnsi="Arial"/>
                <w:b w:val="false"/>
                <w:bCs w:val="false"/>
                <w:sz w:val="18"/>
                <w:szCs w:val="18"/>
              </w:rPr>
              <w:t xml:space="preserve">Known failure modes</w:t>
            </w:r>
          </w:p>
        </w:tc>
        <w:tc>
          <w:p>
            <w:r>
              <w:rPr>
                <w:rFonts w:ascii="Arial" w:cs="Arial" w:eastAsia="Arial" w:hAnsi="Arial"/>
                <w:b w:val="false"/>
                <w:bCs w:val="false"/>
                <w:sz w:val="18"/>
                <w:szCs w:val="18"/>
              </w:rPr>
              <w:t xml:space="preserve">Explanation quality degrades when evidence lines are highly similar and ambiguous. LLM-as-judge eval in CI catches this.</w:t>
            </w:r>
          </w:p>
        </w:tc>
      </w:tr>
      <w:tr>
        <w:tc>
          <w:p>
            <w:r>
              <w:rPr>
                <w:rFonts w:ascii="Arial" w:cs="Arial" w:eastAsia="Arial" w:hAnsi="Arial"/>
                <w:b w:val="false"/>
                <w:bCs w:val="false"/>
                <w:sz w:val="18"/>
                <w:szCs w:val="18"/>
              </w:rPr>
              <w:t xml:space="preserve">Hallucination mitigation</w:t>
            </w:r>
          </w:p>
        </w:tc>
        <w:tc>
          <w:p>
            <w:r>
              <w:rPr>
                <w:rFonts w:ascii="Arial" w:cs="Arial" w:eastAsia="Arial" w:hAnsi="Arial"/>
                <w:b w:val="false"/>
                <w:bCs w:val="false"/>
                <w:sz w:val="18"/>
                <w:szCs w:val="18"/>
              </w:rPr>
              <w:t xml:space="preserve">Citations API grounds all claims in retrieved evidence. Faithfulness check verifies explanation before surfacing to clerk.</w:t>
            </w:r>
          </w:p>
        </w:tc>
      </w:tr>
      <w:tr>
        <w:tc>
          <w:p>
            <w:r>
              <w:rPr>
                <w:rFonts w:ascii="Arial" w:cs="Arial" w:eastAsia="Arial" w:hAnsi="Arial"/>
                <w:b w:val="false"/>
                <w:bCs w:val="false"/>
                <w:sz w:val="18"/>
                <w:szCs w:val="18"/>
              </w:rPr>
              <w:t xml:space="preserve">Cost optimisation</w:t>
            </w:r>
          </w:p>
        </w:tc>
        <w:tc>
          <w:p>
            <w:r>
              <w:rPr>
                <w:rFonts w:ascii="Arial" w:cs="Arial" w:eastAsia="Arial" w:hAnsi="Arial"/>
                <w:b w:val="false"/>
                <w:bCs w:val="false"/>
                <w:sz w:val="18"/>
                <w:szCs w:val="18"/>
              </w:rPr>
              <w:t xml:space="preserve">Prompt caching enabled -- 80-90% cost reduction on system prompt tokens.</w:t>
            </w:r>
          </w:p>
        </w:tc>
      </w:tr>
    </w:tbl>
    <w:p/>
    <w:p>
      <w:pPr>
        <w:pStyle w:val="Heading2"/>
      </w:pPr>
      <w:r>
        <w:t xml:space="preserve">2.3 Anthropic claude-sonnet-5-5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Attribute</w:t>
            </w:r>
          </w:p>
        </w:tc>
        <w:tc>
          <w:tcPr>
            <w:tcW w:type="dxa" w:w="6360"/>
            <w:shd w:color="E2E8F0" w:val="clear"/>
          </w:tcPr>
          <w:p>
            <w:r>
              <w:rPr>
                <w:rFonts w:ascii="Arial" w:cs="Arial" w:eastAsia="Arial" w:hAnsi="Arial"/>
                <w:b/>
                <w:bCs/>
                <w:sz w:val="18"/>
                <w:szCs w:val="18"/>
              </w:rPr>
              <w:t xml:space="preserve">Detail</w:t>
            </w:r>
          </w:p>
        </w:tc>
      </w:tr>
      <w:tr>
        <w:tc>
          <w:p>
            <w:r>
              <w:rPr>
                <w:rFonts w:ascii="Arial" w:cs="Arial" w:eastAsia="Arial" w:hAnsi="Arial"/>
                <w:b w:val="false"/>
                <w:bCs w:val="false"/>
                <w:sz w:val="18"/>
                <w:szCs w:val="18"/>
              </w:rPr>
              <w:t xml:space="preserve">Provider</w:t>
            </w:r>
          </w:p>
        </w:tc>
        <w:tc>
          <w:p>
            <w:r>
              <w:rPr>
                <w:rFonts w:ascii="Arial" w:cs="Arial" w:eastAsia="Arial" w:hAnsi="Arial"/>
                <w:b w:val="false"/>
                <w:bCs w:val="false"/>
                <w:sz w:val="18"/>
                <w:szCs w:val="18"/>
              </w:rPr>
              <w:t xml:space="preserve">Anthropic</w:t>
            </w:r>
          </w:p>
        </w:tc>
      </w:tr>
      <w:tr>
        <w:tc>
          <w:p>
            <w:r>
              <w:rPr>
                <w:rFonts w:ascii="Arial" w:cs="Arial" w:eastAsia="Arial" w:hAnsi="Arial"/>
                <w:b w:val="false"/>
                <w:bCs w:val="false"/>
                <w:sz w:val="18"/>
                <w:szCs w:val="18"/>
              </w:rPr>
              <w:t xml:space="preserve">Model version</w:t>
            </w:r>
          </w:p>
        </w:tc>
        <w:tc>
          <w:p>
            <w:r>
              <w:rPr>
                <w:rFonts w:ascii="Arial" w:cs="Arial" w:eastAsia="Arial" w:hAnsi="Arial"/>
                <w:b w:val="false"/>
                <w:bCs w:val="false"/>
                <w:sz w:val="18"/>
                <w:szCs w:val="18"/>
              </w:rPr>
              <w:t xml:space="preserve">claude-sonnet-5-5 (pinned)</w:t>
            </w:r>
          </w:p>
        </w:tc>
      </w:tr>
      <w:tr>
        <w:tc>
          <w:p>
            <w:r>
              <w:rPr>
                <w:rFonts w:ascii="Arial" w:cs="Arial" w:eastAsia="Arial" w:hAnsi="Arial"/>
                <w:b w:val="false"/>
                <w:bCs w:val="false"/>
                <w:sz w:val="18"/>
                <w:szCs w:val="18"/>
              </w:rPr>
              <w:t xml:space="preserve">Purpose in system</w:t>
            </w:r>
          </w:p>
        </w:tc>
        <w:tc>
          <w:p>
            <w:r>
              <w:rPr>
                <w:rFonts w:ascii="Arial" w:cs="Arial" w:eastAsia="Arial" w:hAnsi="Arial"/>
                <w:b w:val="false"/>
                <w:bCs w:val="false"/>
                <w:sz w:val="18"/>
                <w:szCs w:val="18"/>
              </w:rPr>
              <w:t xml:space="preserve">Complex reasoning for ambiguous invoices. Audit report generation. LLM-as-judge eval scoring.</w:t>
            </w:r>
          </w:p>
        </w:tc>
      </w:tr>
      <w:tr>
        <w:tc>
          <w:p>
            <w:r>
              <w:rPr>
                <w:rFonts w:ascii="Arial" w:cs="Arial" w:eastAsia="Arial" w:hAnsi="Arial"/>
                <w:b w:val="false"/>
                <w:bCs w:val="false"/>
                <w:sz w:val="18"/>
                <w:szCs w:val="18"/>
              </w:rPr>
              <w:t xml:space="preserve">Data sent</w:t>
            </w:r>
          </w:p>
        </w:tc>
        <w:tc>
          <w:p>
            <w:r>
              <w:rPr>
                <w:rFonts w:ascii="Arial" w:cs="Arial" w:eastAsia="Arial" w:hAnsi="Arial"/>
                <w:b w:val="false"/>
                <w:bCs w:val="false"/>
                <w:sz w:val="18"/>
                <w:szCs w:val="18"/>
              </w:rPr>
              <w:t xml:space="preserve">Invoice description, retrieved evidence, conversation history (for Ask AP chatbot). No personal data.</w:t>
            </w:r>
          </w:p>
        </w:tc>
      </w:tr>
      <w:tr>
        <w:tc>
          <w:p>
            <w:r>
              <w:rPr>
                <w:rFonts w:ascii="Arial" w:cs="Arial" w:eastAsia="Arial" w:hAnsi="Arial"/>
                <w:b w:val="false"/>
                <w:bCs w:val="false"/>
                <w:sz w:val="18"/>
                <w:szCs w:val="18"/>
              </w:rPr>
              <w:t xml:space="preserve">Data retention by provider</w:t>
            </w:r>
          </w:p>
        </w:tc>
        <w:tc>
          <w:p>
            <w:r>
              <w:rPr>
                <w:rFonts w:ascii="Arial" w:cs="Arial" w:eastAsia="Arial" w:hAnsi="Arial"/>
                <w:b w:val="false"/>
                <w:bCs w:val="false"/>
                <w:sz w:val="18"/>
                <w:szCs w:val="18"/>
              </w:rPr>
              <w:t xml:space="preserve">Anthropic does not retain API inputs for model training</w:t>
            </w:r>
          </w:p>
        </w:tc>
      </w:tr>
      <w:tr>
        <w:tc>
          <w:p>
            <w:r>
              <w:rPr>
                <w:rFonts w:ascii="Arial" w:cs="Arial" w:eastAsia="Arial" w:hAnsi="Arial"/>
                <w:b w:val="false"/>
                <w:bCs w:val="false"/>
                <w:sz w:val="18"/>
                <w:szCs w:val="18"/>
              </w:rPr>
              <w:t xml:space="preserve">Limitations</w:t>
            </w:r>
          </w:p>
        </w:tc>
        <w:tc>
          <w:p>
            <w:r>
              <w:rPr>
                <w:rFonts w:ascii="Arial" w:cs="Arial" w:eastAsia="Arial" w:hAnsi="Arial"/>
                <w:b w:val="false"/>
                <w:bCs w:val="false"/>
                <w:sz w:val="18"/>
                <w:szCs w:val="18"/>
              </w:rPr>
              <w:t xml:space="preserve">Higher cost than Haiku -- routed only where complexity warrants it via model router.</w:t>
            </w:r>
          </w:p>
        </w:tc>
      </w:tr>
      <w:tr>
        <w:tc>
          <w:p>
            <w:r>
              <w:rPr>
                <w:rFonts w:ascii="Arial" w:cs="Arial" w:eastAsia="Arial" w:hAnsi="Arial"/>
                <w:b w:val="false"/>
                <w:bCs w:val="false"/>
                <w:sz w:val="18"/>
                <w:szCs w:val="18"/>
              </w:rPr>
              <w:t xml:space="preserve">Known failure modes</w:t>
            </w:r>
          </w:p>
        </w:tc>
        <w:tc>
          <w:p>
            <w:r>
              <w:rPr>
                <w:rFonts w:ascii="Arial" w:cs="Arial" w:eastAsia="Arial" w:hAnsi="Arial"/>
                <w:b w:val="false"/>
                <w:bCs w:val="false"/>
                <w:sz w:val="18"/>
                <w:szCs w:val="18"/>
              </w:rPr>
              <w:t xml:space="preserve">Rare hallucination on very long conversation histories -- context window management mitigates this.</w:t>
            </w:r>
          </w:p>
        </w:tc>
      </w:tr>
    </w:tbl>
    <w:p/>
    <w:p>
      <w:pPr>
        <w:pStyle w:val="Heading2"/>
      </w:pPr>
      <w:r>
        <w:t xml:space="preserve">2.4 ColPali (Optional -- Multimodal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Attribute</w:t>
            </w:r>
          </w:p>
        </w:tc>
        <w:tc>
          <w:tcPr>
            <w:tcW w:type="dxa" w:w="6360"/>
            <w:shd w:color="E2E8F0" w:val="clear"/>
          </w:tcPr>
          <w:p>
            <w:r>
              <w:rPr>
                <w:rFonts w:ascii="Arial" w:cs="Arial" w:eastAsia="Arial" w:hAnsi="Arial"/>
                <w:b/>
                <w:bCs/>
                <w:sz w:val="18"/>
                <w:szCs w:val="18"/>
              </w:rPr>
              <w:t xml:space="preserve">Detail</w:t>
            </w:r>
          </w:p>
        </w:tc>
      </w:tr>
      <w:tr>
        <w:tc>
          <w:p>
            <w:r>
              <w:rPr>
                <w:rFonts w:ascii="Arial" w:cs="Arial" w:eastAsia="Arial" w:hAnsi="Arial"/>
                <w:b w:val="false"/>
                <w:bCs w:val="false"/>
                <w:sz w:val="18"/>
                <w:szCs w:val="18"/>
              </w:rPr>
              <w:t xml:space="preserve">Provider</w:t>
            </w:r>
          </w:p>
        </w:tc>
        <w:tc>
          <w:p>
            <w:r>
              <w:rPr>
                <w:rFonts w:ascii="Arial" w:cs="Arial" w:eastAsia="Arial" w:hAnsi="Arial"/>
                <w:b w:val="false"/>
                <w:bCs w:val="false"/>
                <w:sz w:val="18"/>
                <w:szCs w:val="18"/>
              </w:rPr>
              <w:t xml:space="preserve">Open source (vidore/colpali on HuggingFace) -- self-hosted</w:t>
            </w:r>
          </w:p>
        </w:tc>
      </w:tr>
      <w:tr>
        <w:tc>
          <w:p>
            <w:r>
              <w:rPr>
                <w:rFonts w:ascii="Arial" w:cs="Arial" w:eastAsia="Arial" w:hAnsi="Arial"/>
                <w:b w:val="false"/>
                <w:bCs w:val="false"/>
                <w:sz w:val="18"/>
                <w:szCs w:val="18"/>
              </w:rPr>
              <w:t xml:space="preserve">Model version</w:t>
            </w:r>
          </w:p>
        </w:tc>
        <w:tc>
          <w:p>
            <w:r>
              <w:rPr>
                <w:rFonts w:ascii="Arial" w:cs="Arial" w:eastAsia="Arial" w:hAnsi="Arial"/>
                <w:b w:val="false"/>
                <w:bCs w:val="false"/>
                <w:sz w:val="18"/>
                <w:szCs w:val="18"/>
              </w:rPr>
              <w:t xml:space="preserve">colpali-v1.2 or later</w:t>
            </w:r>
          </w:p>
        </w:tc>
      </w:tr>
      <w:tr>
        <w:tc>
          <w:p>
            <w:r>
              <w:rPr>
                <w:rFonts w:ascii="Arial" w:cs="Arial" w:eastAsia="Arial" w:hAnsi="Arial"/>
                <w:b w:val="false"/>
                <w:bCs w:val="false"/>
                <w:sz w:val="18"/>
                <w:szCs w:val="18"/>
              </w:rPr>
              <w:t xml:space="preserve">Purpose in system</w:t>
            </w:r>
          </w:p>
        </w:tc>
        <w:tc>
          <w:p>
            <w:r>
              <w:rPr>
                <w:rFonts w:ascii="Arial" w:cs="Arial" w:eastAsia="Arial" w:hAnsi="Arial"/>
                <w:b w:val="false"/>
                <w:bCs w:val="false"/>
                <w:sz w:val="18"/>
                <w:szCs w:val="18"/>
              </w:rPr>
              <w:t xml:space="preserve">Visual retrieval for PDF/image invoices -- computes multi-vector embeddings from invoice page images</w:t>
            </w:r>
          </w:p>
        </w:tc>
      </w:tr>
      <w:tr>
        <w:tc>
          <w:p>
            <w:r>
              <w:rPr>
                <w:rFonts w:ascii="Arial" w:cs="Arial" w:eastAsia="Arial" w:hAnsi="Arial"/>
                <w:b w:val="false"/>
                <w:bCs w:val="false"/>
                <w:sz w:val="18"/>
                <w:szCs w:val="18"/>
              </w:rPr>
              <w:t xml:space="preserve">Data sent</w:t>
            </w:r>
          </w:p>
        </w:tc>
        <w:tc>
          <w:p>
            <w:r>
              <w:rPr>
                <w:rFonts w:ascii="Arial" w:cs="Arial" w:eastAsia="Arial" w:hAnsi="Arial"/>
                <w:b w:val="false"/>
                <w:bCs w:val="false"/>
                <w:sz w:val="18"/>
                <w:szCs w:val="18"/>
              </w:rPr>
              <w:t xml:space="preserve">Invoice page images -- processed locally, not sent to external API</w:t>
            </w:r>
          </w:p>
        </w:tc>
      </w:tr>
      <w:tr>
        <w:tc>
          <w:p>
            <w:r>
              <w:rPr>
                <w:rFonts w:ascii="Arial" w:cs="Arial" w:eastAsia="Arial" w:hAnsi="Arial"/>
                <w:b w:val="false"/>
                <w:bCs w:val="false"/>
                <w:sz w:val="18"/>
                <w:szCs w:val="18"/>
              </w:rPr>
              <w:t xml:space="preserve">Data retention</w:t>
            </w:r>
          </w:p>
        </w:tc>
        <w:tc>
          <w:p>
            <w:r>
              <w:rPr>
                <w:rFonts w:ascii="Arial" w:cs="Arial" w:eastAsia="Arial" w:hAnsi="Arial"/>
                <w:b w:val="false"/>
                <w:bCs w:val="false"/>
                <w:sz w:val="18"/>
                <w:szCs w:val="18"/>
              </w:rPr>
              <w:t xml:space="preserve">No external provider -- all processing on Akkoda infrastructure</w:t>
            </w:r>
          </w:p>
        </w:tc>
      </w:tr>
      <w:tr>
        <w:tc>
          <w:p>
            <w:r>
              <w:rPr>
                <w:rFonts w:ascii="Arial" w:cs="Arial" w:eastAsia="Arial" w:hAnsi="Arial"/>
                <w:b w:val="false"/>
                <w:bCs w:val="false"/>
                <w:sz w:val="18"/>
                <w:szCs w:val="18"/>
              </w:rPr>
              <w:t xml:space="preserve">Limitations</w:t>
            </w:r>
          </w:p>
        </w:tc>
        <w:tc>
          <w:p>
            <w:r>
              <w:rPr>
                <w:rFonts w:ascii="Arial" w:cs="Arial" w:eastAsia="Arial" w:hAnsi="Arial"/>
                <w:b w:val="false"/>
                <w:bCs w:val="false"/>
                <w:sz w:val="18"/>
                <w:szCs w:val="18"/>
              </w:rPr>
              <w:t xml:space="preserve">Requires GPU infrastructure for efficient inference. Optional -- text-only retrieval used as fallback.</w:t>
            </w:r>
          </w:p>
        </w:tc>
      </w:tr>
      <w:tr>
        <w:tc>
          <w:p>
            <w:r>
              <w:rPr>
                <w:rFonts w:ascii="Arial" w:cs="Arial" w:eastAsia="Arial" w:hAnsi="Arial"/>
                <w:b w:val="false"/>
                <w:bCs w:val="false"/>
                <w:sz w:val="18"/>
                <w:szCs w:val="18"/>
              </w:rPr>
              <w:t xml:space="preserve">Enabled for</w:t>
            </w:r>
          </w:p>
        </w:tc>
        <w:tc>
          <w:p>
            <w:r>
              <w:rPr>
                <w:rFonts w:ascii="Arial" w:cs="Arial" w:eastAsia="Arial" w:hAnsi="Arial"/>
                <w:b w:val="false"/>
                <w:bCs w:val="false"/>
                <w:sz w:val="18"/>
                <w:szCs w:val="18"/>
              </w:rPr>
              <w:t xml:space="preserve">Tenants with significant PDF/image invoice volume. Configurable per tenant.</w:t>
            </w:r>
          </w:p>
        </w:tc>
      </w:tr>
    </w:tbl>
    <w:p/>
    <w:p>
      <w:pPr>
        <w:pStyle w:val="Heading1"/>
      </w:pPr>
      <w:r>
        <w:t xml:space="preserve">3. Explainability Reports</w:t>
      </w:r>
    </w:p>
    <w:p>
      <w:r>
        <w:rPr>
          <w:rFonts w:ascii="Arial" w:cs="Arial" w:eastAsia="Arial" w:hAnsi="Arial"/>
          <w:sz w:val="20"/>
          <w:szCs w:val="20"/>
        </w:rPr>
        <w:t xml:space="preserve">An explainability report provides a structured account of how the AI system made decisions across a period, suitable for regulatory inspection, internal audit, or client review.</w:t>
      </w:r>
    </w:p>
    <w:p/>
    <w:p>
      <w:pPr>
        <w:pStyle w:val="Heading2"/>
      </w:pPr>
      <w:r>
        <w:t xml:space="preserve">3.1 Per-Invoice Explainability</w:t>
      </w:r>
    </w:p>
    <w:p>
      <w:r>
        <w:rPr>
          <w:rFonts w:ascii="Arial" w:cs="Arial" w:eastAsia="Arial" w:hAnsi="Arial"/>
          <w:sz w:val="20"/>
          <w:szCs w:val="20"/>
        </w:rPr>
        <w:t xml:space="preserve">Every invoice decision carries its full provenance in the audit log. This is the atomic unit of explainability.</w:t>
      </w:r>
    </w:p>
    <w:p>
      <w:pPr>
        <w:pStyle w:val="ListParagraph"/>
        <w:numPr>
          <w:ilvl w:val="0"/>
          <w:numId w:val="2"/>
        </w:numPr>
        <w:spacing w:after="60"/>
      </w:pPr>
      <w:r>
        <w:t xml:space="preserve">Predicted GL code and confidence score</w:t>
      </w:r>
    </w:p>
    <w:p>
      <w:pPr>
        <w:pStyle w:val="ListParagraph"/>
        <w:numPr>
          <w:ilvl w:val="0"/>
          <w:numId w:val="2"/>
        </w:numPr>
        <w:spacing w:after="60"/>
      </w:pPr>
      <w:r>
        <w:t xml:space="preserve">Routing decision (auto_post or human_review) and routing reason</w:t>
      </w:r>
    </w:p>
    <w:p>
      <w:pPr>
        <w:pStyle w:val="ListParagraph"/>
        <w:numPr>
          <w:ilvl w:val="0"/>
          <w:numId w:val="2"/>
        </w:numPr>
        <w:spacing w:after="60"/>
      </w:pPr>
      <w:r>
        <w:t xml:space="preserve">Evidence lines retrieved: description, GL code, similarity score, source, confirmation date, citation ID</w:t>
      </w:r>
    </w:p>
    <w:p>
      <w:pPr>
        <w:pStyle w:val="ListParagraph"/>
        <w:numPr>
          <w:ilvl w:val="0"/>
          <w:numId w:val="2"/>
        </w:numPr>
        <w:spacing w:after="60"/>
      </w:pPr>
      <w:r>
        <w:t xml:space="preserve">Whether GraphRAG evidence was used: if yes, which vendor relationships were traversed</w:t>
      </w:r>
    </w:p>
    <w:p>
      <w:pPr>
        <w:pStyle w:val="ListParagraph"/>
        <w:numPr>
          <w:ilvl w:val="0"/>
          <w:numId w:val="2"/>
        </w:numPr>
        <w:spacing w:after="60"/>
      </w:pPr>
      <w:r>
        <w:t xml:space="preserve">LLM model used for explanation and whether prompt cache was hit</w:t>
      </w:r>
    </w:p>
    <w:p>
      <w:pPr>
        <w:pStyle w:val="ListParagraph"/>
        <w:numPr>
          <w:ilvl w:val="0"/>
          <w:numId w:val="2"/>
        </w:numPr>
        <w:spacing w:after="60"/>
      </w:pPr>
      <w:r>
        <w:t xml:space="preserve">Plain-English explanation with inline citations (for human_review invoices)</w:t>
      </w:r>
    </w:p>
    <w:p>
      <w:pPr>
        <w:pStyle w:val="ListParagraph"/>
        <w:numPr>
          <w:ilvl w:val="0"/>
          <w:numId w:val="2"/>
        </w:numPr>
        <w:spacing w:after="60"/>
      </w:pPr>
      <w:r>
        <w:t xml:space="preserve">Confirming user and confirmation timestamp</w:t>
      </w:r>
    </w:p>
    <w:p>
      <w:pPr>
        <w:pStyle w:val="ListParagraph"/>
        <w:numPr>
          <w:ilvl w:val="0"/>
          <w:numId w:val="2"/>
        </w:numPr>
        <w:spacing w:after="60"/>
      </w:pPr>
      <w:r>
        <w:t xml:space="preserve">Langfuse trace ID -- enables reconstruction of the full decision from the trace</w:t>
      </w:r>
    </w:p>
    <w:p/>
    <w:p>
      <w:pPr>
        <w:pStyle w:val="Heading2"/>
      </w:pPr>
      <w:r>
        <w:t xml:space="preserve">3.2 Periodic Explainability Report (Monthly)</w:t>
      </w:r>
    </w:p>
    <w:p>
      <w:r>
        <w:rPr>
          <w:rFonts w:ascii="Arial" w:cs="Arial" w:eastAsia="Arial" w:hAnsi="Arial"/>
          <w:sz w:val="20"/>
          <w:szCs w:val="20"/>
        </w:rPr>
        <w:t xml:space="preserve">A structured monthly report for AP managers and regulatory inspection. Generated via the audit_report prompt using claude-sonnet-5-5.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Section</w:t>
            </w:r>
          </w:p>
        </w:tc>
        <w:tc>
          <w:tcPr>
            <w:tcW w:type="dxa" w:w="6360"/>
            <w:shd w:color="E2E8F0" w:val="clear"/>
          </w:tcPr>
          <w:p>
            <w:r>
              <w:rPr>
                <w:rFonts w:ascii="Arial" w:cs="Arial" w:eastAsia="Arial" w:hAnsi="Arial"/>
                <w:b/>
                <w:bCs/>
                <w:sz w:val="18"/>
                <w:szCs w:val="18"/>
              </w:rPr>
              <w:t xml:space="preserve">Content</w:t>
            </w:r>
          </w:p>
        </w:tc>
      </w:tr>
      <w:tr>
        <w:tc>
          <w:p>
            <w:r>
              <w:rPr>
                <w:rFonts w:ascii="Arial" w:cs="Arial" w:eastAsia="Arial" w:hAnsi="Arial"/>
                <w:b w:val="false"/>
                <w:bCs w:val="false"/>
                <w:sz w:val="18"/>
                <w:szCs w:val="18"/>
              </w:rPr>
              <w:t xml:space="preserve">Summary statistics</w:t>
            </w:r>
          </w:p>
        </w:tc>
        <w:tc>
          <w:p>
            <w:r>
              <w:rPr>
                <w:rFonts w:ascii="Arial" w:cs="Arial" w:eastAsia="Arial" w:hAnsi="Arial"/>
                <w:b w:val="false"/>
                <w:bCs w:val="false"/>
                <w:sz w:val="18"/>
                <w:szCs w:val="18"/>
              </w:rPr>
              <w:t xml:space="preserve">Total invoices, automation rate, accuracy rate, false positive rate, human review rate</w:t>
            </w:r>
          </w:p>
        </w:tc>
      </w:tr>
      <w:tr>
        <w:tc>
          <w:p>
            <w:r>
              <w:rPr>
                <w:rFonts w:ascii="Arial" w:cs="Arial" w:eastAsia="Arial" w:hAnsi="Arial"/>
                <w:b w:val="false"/>
                <w:bCs w:val="false"/>
                <w:sz w:val="18"/>
                <w:szCs w:val="18"/>
              </w:rPr>
              <w:t xml:space="preserve">Decision distribution</w:t>
            </w:r>
          </w:p>
        </w:tc>
        <w:tc>
          <w:p>
            <w:r>
              <w:rPr>
                <w:rFonts w:ascii="Arial" w:cs="Arial" w:eastAsia="Arial" w:hAnsi="Arial"/>
                <w:b w:val="false"/>
                <w:bCs w:val="false"/>
                <w:sz w:val="18"/>
                <w:szCs w:val="18"/>
              </w:rPr>
              <w:t xml:space="preserve">Auto-posts vs human review by vendor category, GL code, amount band</w:t>
            </w:r>
          </w:p>
        </w:tc>
      </w:tr>
      <w:tr>
        <w:tc>
          <w:p>
            <w:r>
              <w:rPr>
                <w:rFonts w:ascii="Arial" w:cs="Arial" w:eastAsia="Arial" w:hAnsi="Arial"/>
                <w:b w:val="false"/>
                <w:bCs w:val="false"/>
                <w:sz w:val="18"/>
                <w:szCs w:val="18"/>
              </w:rPr>
              <w:t xml:space="preserve">Confidence distribution</w:t>
            </w:r>
          </w:p>
        </w:tc>
        <w:tc>
          <w:p>
            <w:r>
              <w:rPr>
                <w:rFonts w:ascii="Arial" w:cs="Arial" w:eastAsia="Arial" w:hAnsi="Arial"/>
                <w:b w:val="false"/>
                <w:bCs w:val="false"/>
                <w:sz w:val="18"/>
                <w:szCs w:val="18"/>
              </w:rPr>
              <w:t xml:space="preserve">Histogram of confidence scores across all predictions</w:t>
            </w:r>
          </w:p>
        </w:tc>
      </w:tr>
      <w:tr>
        <w:tc>
          <w:p>
            <w:r>
              <w:rPr>
                <w:rFonts w:ascii="Arial" w:cs="Arial" w:eastAsia="Arial" w:hAnsi="Arial"/>
                <w:b w:val="false"/>
                <w:bCs w:val="false"/>
                <w:sz w:val="18"/>
                <w:szCs w:val="18"/>
              </w:rPr>
              <w:t xml:space="preserve">Routing reasons</w:t>
            </w:r>
          </w:p>
        </w:tc>
        <w:tc>
          <w:p>
            <w:r>
              <w:rPr>
                <w:rFonts w:ascii="Arial" w:cs="Arial" w:eastAsia="Arial" w:hAnsi="Arial"/>
                <w:b w:val="false"/>
                <w:bCs w:val="false"/>
                <w:sz w:val="18"/>
                <w:szCs w:val="18"/>
              </w:rPr>
              <w:t xml:space="preserve">Breakdown of why invoices were routed to human review: cold start, low confidence, high value, low evidence</w:t>
            </w:r>
          </w:p>
        </w:tc>
      </w:tr>
      <w:tr>
        <w:tc>
          <w:p>
            <w:r>
              <w:rPr>
                <w:rFonts w:ascii="Arial" w:cs="Arial" w:eastAsia="Arial" w:hAnsi="Arial"/>
                <w:b w:val="false"/>
                <w:bCs w:val="false"/>
                <w:sz w:val="18"/>
                <w:szCs w:val="18"/>
              </w:rPr>
              <w:t xml:space="preserve">Human override analysis</w:t>
            </w:r>
          </w:p>
        </w:tc>
        <w:tc>
          <w:p>
            <w:r>
              <w:rPr>
                <w:rFonts w:ascii="Arial" w:cs="Arial" w:eastAsia="Arial" w:hAnsi="Arial"/>
                <w:b w:val="false"/>
                <w:bCs w:val="false"/>
                <w:sz w:val="18"/>
                <w:szCs w:val="18"/>
              </w:rPr>
              <w:t xml:space="preserve">Rate at which clerks corrected system predictions; top corrected GL codes; likely corpus quality issues</w:t>
            </w:r>
          </w:p>
        </w:tc>
      </w:tr>
      <w:tr>
        <w:tc>
          <w:p>
            <w:r>
              <w:rPr>
                <w:rFonts w:ascii="Arial" w:cs="Arial" w:eastAsia="Arial" w:hAnsi="Arial"/>
                <w:b w:val="false"/>
                <w:bCs w:val="false"/>
                <w:sz w:val="18"/>
                <w:szCs w:val="18"/>
              </w:rPr>
              <w:t xml:space="preserve">Corpus health</w:t>
            </w:r>
          </w:p>
        </w:tc>
        <w:tc>
          <w:p>
            <w:r>
              <w:rPr>
                <w:rFonts w:ascii="Arial" w:cs="Arial" w:eastAsia="Arial" w:hAnsi="Arial"/>
                <w:b w:val="false"/>
                <w:bCs w:val="false"/>
                <w:sz w:val="18"/>
                <w:szCs w:val="18"/>
              </w:rPr>
              <w:t xml:space="preserve">Size, age distribution, vendor density, outlier flags</w:t>
            </w:r>
          </w:p>
        </w:tc>
      </w:tr>
      <w:tr>
        <w:tc>
          <w:p>
            <w:r>
              <w:rPr>
                <w:rFonts w:ascii="Arial" w:cs="Arial" w:eastAsia="Arial" w:hAnsi="Arial"/>
                <w:b w:val="false"/>
                <w:bCs w:val="false"/>
                <w:sz w:val="18"/>
                <w:szCs w:val="18"/>
              </w:rPr>
              <w:t xml:space="preserve">Model performance</w:t>
            </w:r>
          </w:p>
        </w:tc>
        <w:tc>
          <w:p>
            <w:r>
              <w:rPr>
                <w:rFonts w:ascii="Arial" w:cs="Arial" w:eastAsia="Arial" w:hAnsi="Arial"/>
                <w:b w:val="false"/>
                <w:bCs w:val="false"/>
                <w:sz w:val="18"/>
                <w:szCs w:val="18"/>
              </w:rPr>
              <w:t xml:space="preserve">RAGAS scores, LLM-as-judge scores, calibration curve</w:t>
            </w:r>
          </w:p>
        </w:tc>
      </w:tr>
      <w:tr>
        <w:tc>
          <w:p>
            <w:r>
              <w:rPr>
                <w:rFonts w:ascii="Arial" w:cs="Arial" w:eastAsia="Arial" w:hAnsi="Arial"/>
                <w:b w:val="false"/>
                <w:bCs w:val="false"/>
                <w:sz w:val="18"/>
                <w:szCs w:val="18"/>
              </w:rPr>
              <w:t xml:space="preserve">Cost attribution</w:t>
            </w:r>
          </w:p>
        </w:tc>
        <w:tc>
          <w:p>
            <w:r>
              <w:rPr>
                <w:rFonts w:ascii="Arial" w:cs="Arial" w:eastAsia="Arial" w:hAnsi="Arial"/>
                <w:b w:val="false"/>
                <w:bCs w:val="false"/>
                <w:sz w:val="18"/>
                <w:szCs w:val="18"/>
              </w:rPr>
              <w:t xml:space="preserve">LLM API cost per invoice, cache hit rate, cost by model</w:t>
            </w:r>
          </w:p>
        </w:tc>
      </w:tr>
      <w:tr>
        <w:tc>
          <w:p>
            <w:r>
              <w:rPr>
                <w:rFonts w:ascii="Arial" w:cs="Arial" w:eastAsia="Arial" w:hAnsi="Arial"/>
                <w:b w:val="false"/>
                <w:bCs w:val="false"/>
                <w:sz w:val="18"/>
                <w:szCs w:val="18"/>
              </w:rPr>
              <w:t xml:space="preserve">Erasure activity</w:t>
            </w:r>
          </w:p>
        </w:tc>
        <w:tc>
          <w:p>
            <w:r>
              <w:rPr>
                <w:rFonts w:ascii="Arial" w:cs="Arial" w:eastAsia="Arial" w:hAnsi="Arial"/>
                <w:b w:val="false"/>
                <w:bCs w:val="false"/>
                <w:sz w:val="18"/>
                <w:szCs w:val="18"/>
              </w:rPr>
              <w:t xml:space="preserve">Any GDPR erasure requests completed in the period</w:t>
            </w:r>
          </w:p>
        </w:tc>
      </w:tr>
    </w:tbl>
    <w:p/>
    <w:p>
      <w:pPr>
        <w:pStyle w:val="ListParagraph"/>
        <w:numPr>
          <w:ilvl w:val="0"/>
          <w:numId w:val="2"/>
        </w:numPr>
        <w:spacing w:after="60"/>
      </w:pPr>
      <w:r>
        <w:t xml:space="preserve">Report generated via GET /performance?period=30d + audit_report LLM prompt</w:t>
      </w:r>
    </w:p>
    <w:p>
      <w:pPr>
        <w:pStyle w:val="ListParagraph"/>
        <w:numPr>
          <w:ilvl w:val="0"/>
          <w:numId w:val="2"/>
        </w:numPr>
        <w:spacing w:after="60"/>
      </w:pPr>
      <w:r>
        <w:t xml:space="preserve">Delivered as: PDF via S3 pre-signed URL, or directly in the evals dashboard</w:t>
      </w:r>
    </w:p>
    <w:p>
      <w:pPr>
        <w:pStyle w:val="ListParagraph"/>
        <w:numPr>
          <w:ilvl w:val="0"/>
          <w:numId w:val="2"/>
        </w:numPr>
        <w:spacing w:after="60"/>
      </w:pPr>
      <w:r>
        <w:t xml:space="preserve">Access: AP Manager role and above</w:t>
      </w:r>
    </w:p>
    <w:p>
      <w:pPr>
        <w:pStyle w:val="ListParagraph"/>
        <w:numPr>
          <w:ilvl w:val="0"/>
          <w:numId w:val="2"/>
        </w:numPr>
        <w:spacing w:after="60"/>
      </w:pPr>
      <w:r>
        <w:t xml:space="preserve">Retention: 7 years in S3 alongside audit log archives</w:t>
      </w:r>
    </w:p>
    <w:p/>
    <w:p>
      <w:pPr>
        <w:pStyle w:val="Heading1"/>
      </w:pPr>
      <w:r>
        <w:t xml:space="preserve">4. GDPR Compliance</w:t>
      </w:r>
    </w:p>
    <w:p/>
    <w:p>
      <w:pPr>
        <w:pStyle w:val="Heading2"/>
      </w:pPr>
      <w:r>
        <w:t xml:space="preserve">4.1 Personal Data Assessment</w:t>
      </w:r>
    </w:p>
    <w:p>
      <w:r>
        <w:rPr>
          <w:rFonts w:ascii="Arial" w:cs="Arial" w:eastAsia="Arial" w:hAnsi="Arial"/>
          <w:sz w:val="20"/>
          <w:szCs w:val="20"/>
        </w:rPr>
        <w:t xml:space="preserve">Invoice descriptions may contain personal data -- contact names, email addresses, or references to individuals. Vendor names may also be considered personal data if they refer to sole traders.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shd w:color="E2E8F0" w:val="clear"/>
          </w:tcPr>
          <w:p>
            <w:r>
              <w:rPr>
                <w:rFonts w:ascii="Arial" w:cs="Arial" w:eastAsia="Arial" w:hAnsi="Arial"/>
                <w:b/>
                <w:bCs/>
                <w:sz w:val="18"/>
                <w:szCs w:val="18"/>
              </w:rPr>
              <w:t xml:space="preserve">Data element</w:t>
            </w:r>
          </w:p>
        </w:tc>
        <w:tc>
          <w:tcPr>
            <w:tcW w:type="dxa" w:w="1800"/>
            <w:shd w:color="E2E8F0" w:val="clear"/>
          </w:tcPr>
          <w:p>
            <w:r>
              <w:rPr>
                <w:rFonts w:ascii="Arial" w:cs="Arial" w:eastAsia="Arial" w:hAnsi="Arial"/>
                <w:b/>
                <w:bCs/>
                <w:sz w:val="18"/>
                <w:szCs w:val="18"/>
              </w:rPr>
              <w:t xml:space="preserve">Personal data?</w:t>
            </w:r>
          </w:p>
        </w:tc>
        <w:tc>
          <w:tcPr>
            <w:tcW w:type="dxa" w:w="4560"/>
            <w:shd w:color="E2E8F0" w:val="clear"/>
          </w:tcPr>
          <w:p>
            <w:r>
              <w:rPr>
                <w:rFonts w:ascii="Arial" w:cs="Arial" w:eastAsia="Arial" w:hAnsi="Arial"/>
                <w:b/>
                <w:bCs/>
                <w:sz w:val="18"/>
                <w:szCs w:val="18"/>
              </w:rPr>
              <w:t xml:space="preserve">Treatment</w:t>
            </w:r>
          </w:p>
        </w:tc>
      </w:tr>
      <w:tr>
        <w:tc>
          <w:p>
            <w:r>
              <w:rPr>
                <w:rFonts w:ascii="Arial" w:cs="Arial" w:eastAsia="Arial" w:hAnsi="Arial"/>
                <w:b w:val="false"/>
                <w:bCs w:val="false"/>
                <w:sz w:val="18"/>
                <w:szCs w:val="18"/>
              </w:rPr>
              <w:t xml:space="preserve">Invoice description text</w:t>
            </w:r>
          </w:p>
        </w:tc>
        <w:tc>
          <w:p>
            <w:r>
              <w:rPr>
                <w:rFonts w:ascii="Arial" w:cs="Arial" w:eastAsia="Arial" w:hAnsi="Arial"/>
                <w:b w:val="false"/>
                <w:bCs w:val="false"/>
                <w:sz w:val="18"/>
                <w:szCs w:val="18"/>
              </w:rPr>
              <w:t xml:space="preserve">Potentially</w:t>
            </w:r>
          </w:p>
        </w:tc>
        <w:tc>
          <w:p>
            <w:r>
              <w:rPr>
                <w:rFonts w:ascii="Arial" w:cs="Arial" w:eastAsia="Arial" w:hAnsi="Arial"/>
                <w:b w:val="false"/>
                <w:bCs w:val="false"/>
                <w:sz w:val="18"/>
                <w:szCs w:val="18"/>
              </w:rPr>
              <w:t xml:space="preserve">Preprocessed to strip personal references before embedding. Not sent to external LLM with identifiers.</w:t>
            </w:r>
          </w:p>
        </w:tc>
      </w:tr>
      <w:tr>
        <w:tc>
          <w:p>
            <w:r>
              <w:rPr>
                <w:rFonts w:ascii="Arial" w:cs="Arial" w:eastAsia="Arial" w:hAnsi="Arial"/>
                <w:b w:val="false"/>
                <w:bCs w:val="false"/>
                <w:sz w:val="18"/>
                <w:szCs w:val="18"/>
              </w:rPr>
              <w:t xml:space="preserve">Vendor name (company)</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Treated as business data</w:t>
            </w:r>
          </w:p>
        </w:tc>
      </w:tr>
      <w:tr>
        <w:tc>
          <w:p>
            <w:r>
              <w:rPr>
                <w:rFonts w:ascii="Arial" w:cs="Arial" w:eastAsia="Arial" w:hAnsi="Arial"/>
                <w:b w:val="false"/>
                <w:bCs w:val="false"/>
                <w:sz w:val="18"/>
                <w:szCs w:val="18"/>
              </w:rPr>
              <w:t xml:space="preserve">Vendor name (sole trader)</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Subject to right to erasure. Erasure pipeline covers this.</w:t>
            </w:r>
          </w:p>
        </w:tc>
      </w:tr>
      <w:tr>
        <w:tc>
          <w:p>
            <w:r>
              <w:rPr>
                <w:rFonts w:ascii="Arial" w:cs="Arial" w:eastAsia="Arial" w:hAnsi="Arial"/>
                <w:b w:val="false"/>
                <w:bCs w:val="false"/>
                <w:sz w:val="18"/>
                <w:szCs w:val="18"/>
              </w:rPr>
              <w:t xml:space="preserve">AP clerk user ID</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Stored in audit log for traceability. Pseudonymised in exports.</w:t>
            </w:r>
          </w:p>
        </w:tc>
      </w:tr>
      <w:tr>
        <w:tc>
          <w:p>
            <w:r>
              <w:rPr>
                <w:rFonts w:ascii="Arial" w:cs="Arial" w:eastAsia="Arial" w:hAnsi="Arial"/>
                <w:b w:val="false"/>
                <w:bCs w:val="false"/>
                <w:sz w:val="18"/>
                <w:szCs w:val="18"/>
              </w:rPr>
              <w:t xml:space="preserve">Invoice amount</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Financial data, not personal data</w:t>
            </w:r>
          </w:p>
        </w:tc>
      </w:tr>
    </w:tbl>
    <w:p/>
    <w:p>
      <w:pPr>
        <w:pStyle w:val="Heading2"/>
      </w:pPr>
      <w:r>
        <w:t xml:space="preserve">4.2 Right to Erasure Pipeline</w:t>
      </w:r>
    </w:p>
    <w:p>
      <w:r>
        <w:rPr>
          <w:rFonts w:ascii="Arial" w:cs="Arial" w:eastAsia="Arial" w:hAnsi="Arial"/>
          <w:sz w:val="20"/>
          <w:szCs w:val="20"/>
        </w:rPr>
        <w:t xml:space="preserve">Covered in detail in the Data Architecture document. Summary for compliance purposes:</w:t>
      </w:r>
    </w:p>
    <w:p/>
    <w:p>
      <w:pPr>
        <w:pStyle w:val="ListParagraph"/>
        <w:numPr>
          <w:ilvl w:val="0"/>
          <w:numId w:val="2"/>
        </w:numPr>
        <w:spacing w:after="60"/>
      </w:pPr>
      <w:r>
        <w:t xml:space="preserve">Erasure request submitted via AP Manager role -- POST /admin/erasure</w:t>
      </w:r>
    </w:p>
    <w:p>
      <w:pPr>
        <w:pStyle w:val="ListParagraph"/>
        <w:numPr>
          <w:ilvl w:val="0"/>
          <w:numId w:val="2"/>
        </w:numPr>
        <w:spacing w:after="60"/>
      </w:pPr>
      <w:r>
        <w:t xml:space="preserve">All corpus points for the vendor deleted from Qdrant and Postgres</w:t>
      </w:r>
    </w:p>
    <w:p>
      <w:pPr>
        <w:pStyle w:val="ListParagraph"/>
        <w:numPr>
          <w:ilvl w:val="0"/>
          <w:numId w:val="2"/>
        </w:numPr>
        <w:spacing w:after="60"/>
      </w:pPr>
      <w:r>
        <w:t xml:space="preserve">Invoice records anonymised in Postgres -- vendor name and description replaced with [ERASED]</w:t>
      </w:r>
    </w:p>
    <w:p>
      <w:pPr>
        <w:pStyle w:val="ListParagraph"/>
        <w:numPr>
          <w:ilvl w:val="0"/>
          <w:numId w:val="2"/>
        </w:numPr>
        <w:spacing w:after="60"/>
      </w:pPr>
      <w:r>
        <w:t xml:space="preserve">Audit log anonymised -- vendor name fields only, rows preserved for regulatory compliance</w:t>
      </w:r>
    </w:p>
    <w:p>
      <w:pPr>
        <w:pStyle w:val="ListParagraph"/>
        <w:numPr>
          <w:ilvl w:val="0"/>
          <w:numId w:val="2"/>
        </w:numPr>
        <w:spacing w:after="60"/>
      </w:pPr>
      <w:r>
        <w:t xml:space="preserve">S3 PDF/image files deleted for affected invoices</w:t>
      </w:r>
    </w:p>
    <w:p>
      <w:pPr>
        <w:pStyle w:val="ListParagraph"/>
        <w:numPr>
          <w:ilvl w:val="0"/>
          <w:numId w:val="2"/>
        </w:numPr>
        <w:spacing w:after="60"/>
      </w:pPr>
      <w:r>
        <w:t xml:space="preserve">Graph store: vendor node and all edges removed</w:t>
      </w:r>
    </w:p>
    <w:p>
      <w:pPr>
        <w:pStyle w:val="ListParagraph"/>
        <w:numPr>
          <w:ilvl w:val="0"/>
          <w:numId w:val="2"/>
        </w:numPr>
        <w:spacing w:after="60"/>
      </w:pPr>
      <w:r>
        <w:t xml:space="preserve">Redis cache invalidated for vendor</w:t>
      </w:r>
    </w:p>
    <w:p>
      <w:pPr>
        <w:pStyle w:val="ListParagraph"/>
        <w:numPr>
          <w:ilvl w:val="0"/>
          <w:numId w:val="2"/>
        </w:numPr>
        <w:spacing w:after="60"/>
      </w:pPr>
      <w:r>
        <w:t xml:space="preserve">Langfuse traces deleted where vendor metadata matches</w:t>
      </w:r>
    </w:p>
    <w:p>
      <w:pPr>
        <w:pStyle w:val="ListParagraph"/>
        <w:numPr>
          <w:ilvl w:val="0"/>
          <w:numId w:val="2"/>
        </w:numPr>
        <w:spacing w:after="60"/>
      </w:pPr>
      <w:r>
        <w:t xml:space="preserve">Erasure completed within 30 days (GDPR requirement) -- target 48 hours</w:t>
      </w:r>
    </w:p>
    <w:p>
      <w:pPr>
        <w:pStyle w:val="ListParagraph"/>
        <w:numPr>
          <w:ilvl w:val="0"/>
          <w:numId w:val="2"/>
        </w:numPr>
        <w:spacing w:after="60"/>
      </w:pPr>
      <w:r>
        <w:t xml:space="preserve">Erasure completion notification to AP Manager with record counts</w:t>
      </w:r>
    </w:p>
    <w:p/>
    <w:p>
      <w:pPr>
        <w:pStyle w:val="Heading2"/>
      </w:pPr>
      <w:r>
        <w:t xml:space="preserve">4.3 Data Processing Agreement</w:t>
      </w:r>
    </w:p>
    <w:p>
      <w:r>
        <w:rPr>
          <w:rFonts w:ascii="Arial" w:cs="Arial" w:eastAsia="Arial" w:hAnsi="Arial"/>
          <w:sz w:val="20"/>
          <w:szCs w:val="20"/>
        </w:rPr>
        <w:t xml:space="preserve">Akkoda acts as a data processor under GDPR when processing client invoice data. Clients (data controllers) must have a Data Processing Agreement (DPA) in place with Akkoda before going live.</w:t>
      </w:r>
    </w:p>
    <w:p>
      <w:pPr>
        <w:pStyle w:val="ListParagraph"/>
        <w:numPr>
          <w:ilvl w:val="0"/>
          <w:numId w:val="2"/>
        </w:numPr>
        <w:spacing w:after="60"/>
      </w:pPr>
      <w:r>
        <w:t xml:space="preserve">DPA template provided by Akkoda legal -- signed in onboarding Phase 1</w:t>
      </w:r>
    </w:p>
    <w:p>
      <w:pPr>
        <w:pStyle w:val="ListParagraph"/>
        <w:numPr>
          <w:ilvl w:val="0"/>
          <w:numId w:val="2"/>
        </w:numPr>
        <w:spacing w:after="60"/>
      </w:pPr>
      <w:r>
        <w:t xml:space="preserve">DPA covers: purposes of processing, data categories, retention periods, sub-processors (OpenAI, Anthropic, Qdrant, Neo4j, AWS)</w:t>
      </w:r>
    </w:p>
    <w:p>
      <w:pPr>
        <w:pStyle w:val="ListParagraph"/>
        <w:numPr>
          <w:ilvl w:val="0"/>
          <w:numId w:val="2"/>
        </w:numPr>
        <w:spacing w:after="60"/>
      </w:pPr>
      <w:r>
        <w:t xml:space="preserve">Sub-processor DPAs: Akkoda maintains DPAs with all sub-processors</w:t>
      </w:r>
    </w:p>
    <w:p>
      <w:pPr>
        <w:pStyle w:val="ListParagraph"/>
        <w:numPr>
          <w:ilvl w:val="0"/>
          <w:numId w:val="2"/>
        </w:numPr>
        <w:spacing w:after="60"/>
      </w:pPr>
      <w:r>
        <w:t xml:space="preserve">Data transfer: all data processed in EU (eu-west-2, Ireland) unless client explicitly requests otherwise</w:t>
      </w:r>
    </w:p>
    <w:p/>
    <w:p>
      <w:pPr>
        <w:pStyle w:val="Heading1"/>
      </w:pPr>
      <w:r>
        <w:t xml:space="preserve">5. Anthropic Usage Policy Compliance</w:t>
      </w:r>
    </w:p>
    <w:p>
      <w:r>
        <w:rPr>
          <w:rFonts w:ascii="Arial" w:cs="Arial" w:eastAsia="Arial" w:hAnsi="Arial"/>
          <w:sz w:val="20"/>
          <w:szCs w:val="20"/>
        </w:rPr>
        <w:t xml:space="preserve">The AP Automation system uses Anthropic models. Compliance with Anthropic's usage policies is a contractual obligation and a condition of continued API access.</w:t>
      </w:r>
    </w:p>
    <w:p/>
    <w:p>
      <w:pPr>
        <w:pStyle w:val="Heading2"/>
      </w:pPr>
      <w:r>
        <w:t xml:space="preserve">5.1 Permitted Uses</w:t>
      </w:r>
    </w:p>
    <w:p>
      <w:pPr>
        <w:pStyle w:val="ListParagraph"/>
        <w:numPr>
          <w:ilvl w:val="0"/>
          <w:numId w:val="2"/>
        </w:numPr>
        <w:spacing w:after="60"/>
      </w:pPr>
      <w:r>
        <w:t xml:space="preserve">Invoice GL code prediction -- automated financial coding is a permitted commercial use</w:t>
      </w:r>
    </w:p>
    <w:p>
      <w:pPr>
        <w:pStyle w:val="ListParagraph"/>
        <w:numPr>
          <w:ilvl w:val="0"/>
          <w:numId w:val="2"/>
        </w:numPr>
        <w:spacing w:after="60"/>
      </w:pPr>
      <w:r>
        <w:t xml:space="preserve">Plain-English explanation generation -- summarisation and explanation are permitted</w:t>
      </w:r>
    </w:p>
    <w:p>
      <w:pPr>
        <w:pStyle w:val="ListParagraph"/>
        <w:numPr>
          <w:ilvl w:val="0"/>
          <w:numId w:val="2"/>
        </w:numPr>
        <w:spacing w:after="60"/>
      </w:pPr>
      <w:r>
        <w:t xml:space="preserve">Natural language rule parsing -- structured data extraction is permitted</w:t>
      </w:r>
    </w:p>
    <w:p>
      <w:pPr>
        <w:pStyle w:val="ListParagraph"/>
        <w:numPr>
          <w:ilvl w:val="0"/>
          <w:numId w:val="2"/>
        </w:numPr>
        <w:spacing w:after="60"/>
      </w:pPr>
      <w:r>
        <w:t xml:space="preserve">Audit report generation -- document generation is permitted</w:t>
      </w:r>
    </w:p>
    <w:p>
      <w:pPr>
        <w:pStyle w:val="ListParagraph"/>
        <w:numPr>
          <w:ilvl w:val="0"/>
          <w:numId w:val="2"/>
        </w:numPr>
        <w:spacing w:after="60"/>
      </w:pPr>
      <w:r>
        <w:t xml:space="preserve">Conversational AP agent (Ask AP) -- question answering is permitted</w:t>
      </w:r>
    </w:p>
    <w:p/>
    <w:p>
      <w:pPr>
        <w:pStyle w:val="Heading2"/>
      </w:pPr>
      <w:r>
        <w:t xml:space="preserve">5.2 Prohibited Uses (Confirmed Not Present)</w:t>
      </w:r>
    </w:p>
    <w:p>
      <w:pPr>
        <w:pStyle w:val="ListParagraph"/>
        <w:numPr>
          <w:ilvl w:val="0"/>
          <w:numId w:val="2"/>
        </w:numPr>
        <w:spacing w:after="60"/>
      </w:pPr>
      <w:r>
        <w:t xml:space="preserve">The system does not use Anthropic models to generate deceptive content</w:t>
      </w:r>
    </w:p>
    <w:p>
      <w:pPr>
        <w:pStyle w:val="ListParagraph"/>
        <w:numPr>
          <w:ilvl w:val="0"/>
          <w:numId w:val="2"/>
        </w:numPr>
        <w:spacing w:after="60"/>
      </w:pPr>
      <w:r>
        <w:t xml:space="preserve">The system does not attempt to bypass model safety measures</w:t>
      </w:r>
    </w:p>
    <w:p>
      <w:pPr>
        <w:pStyle w:val="ListParagraph"/>
        <w:numPr>
          <w:ilvl w:val="0"/>
          <w:numId w:val="2"/>
        </w:numPr>
        <w:spacing w:after="60"/>
      </w:pPr>
      <w:r>
        <w:t xml:space="preserve">The system does not use models to process or generate content that violates Anthropic policies</w:t>
      </w:r>
    </w:p>
    <w:p>
      <w:pPr>
        <w:pStyle w:val="ListParagraph"/>
        <w:numPr>
          <w:ilvl w:val="0"/>
          <w:numId w:val="2"/>
        </w:numPr>
        <w:spacing w:after="60"/>
      </w:pPr>
      <w:r>
        <w:t xml:space="preserve">The system does not use models to make fully autonomous financial decisions -- human oversight is always present</w:t>
      </w:r>
    </w:p>
    <w:p/>
    <w:p>
      <w:pPr>
        <w:pStyle w:val="Heading2"/>
      </w:pPr>
      <w:r>
        <w:t xml:space="preserve">5.3 Compliance Controls</w:t>
      </w:r>
    </w:p>
    <w:p>
      <w:pPr>
        <w:pStyle w:val="ListParagraph"/>
        <w:numPr>
          <w:ilvl w:val="0"/>
          <w:numId w:val="2"/>
        </w:numPr>
        <w:spacing w:after="60"/>
      </w:pPr>
      <w:r>
        <w:t xml:space="preserve">Prompt injection protection: invoice descriptions sanitised before entering the LLM path</w:t>
      </w:r>
    </w:p>
    <w:p>
      <w:pPr>
        <w:pStyle w:val="ListParagraph"/>
        <w:numPr>
          <w:ilvl w:val="0"/>
          <w:numId w:val="2"/>
        </w:numPr>
        <w:spacing w:after="60"/>
      </w:pPr>
      <w:r>
        <w:t xml:space="preserve">Input validation: all LLM inputs validated against schema before API call</w:t>
      </w:r>
    </w:p>
    <w:p>
      <w:pPr>
        <w:pStyle w:val="ListParagraph"/>
        <w:numPr>
          <w:ilvl w:val="0"/>
          <w:numId w:val="2"/>
        </w:numPr>
        <w:spacing w:after="60"/>
      </w:pPr>
      <w:r>
        <w:t xml:space="preserve">Output validation: structured outputs schema enforced -- schema violations rejected</w:t>
      </w:r>
    </w:p>
    <w:p>
      <w:pPr>
        <w:pStyle w:val="ListParagraph"/>
        <w:numPr>
          <w:ilvl w:val="0"/>
          <w:numId w:val="2"/>
        </w:numPr>
        <w:spacing w:after="60"/>
      </w:pPr>
      <w:r>
        <w:t xml:space="preserve">Red team testing: quarterly adversarial testing to identify misuse vectors</w:t>
      </w:r>
    </w:p>
    <w:p>
      <w:pPr>
        <w:pStyle w:val="ListParagraph"/>
        <w:numPr>
          <w:ilvl w:val="0"/>
          <w:numId w:val="2"/>
        </w:numPr>
        <w:spacing w:after="60"/>
      </w:pPr>
      <w:r>
        <w:t xml:space="preserve">Usage monitoring: LLM API calls logged with purpose tag -- anomaly detection on usage patterns</w:t>
      </w:r>
    </w:p>
    <w:p/>
    <w:p>
      <w:pPr>
        <w:pStyle w:val="Heading1"/>
      </w:pPr>
      <w:r>
        <w:t xml:space="preserve">6. AI Incident Response Plan</w:t>
      </w:r>
    </w:p>
    <w:p>
      <w:r>
        <w:rPr>
          <w:rFonts w:ascii="Arial" w:cs="Arial" w:eastAsia="Arial" w:hAnsi="Arial"/>
          <w:sz w:val="20"/>
          <w:szCs w:val="20"/>
        </w:rPr>
        <w:t xml:space="preserve">An AI incident is any event where the AI system produces incorrect, harmful, or unexpected outputs that have or could have a material impact on financial records, client trust, or regulatory compliance.</w:t>
      </w:r>
    </w:p>
    <w:p/>
    <w:p>
      <w:pPr>
        <w:pStyle w:val="Heading2"/>
      </w:pPr>
      <w:r>
        <w:t xml:space="preserve">6.1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800"/>
        <w:gridCol w:w="2360"/>
      </w:tblGrid>
      <w:tr>
        <w:trPr>
          <w:tblHeader/>
        </w:trPr>
        <w:tc>
          <w:tcPr>
            <w:tcW w:type="dxa" w:w="1200"/>
            <w:shd w:color="E2E8F0" w:val="clear"/>
          </w:tcPr>
          <w:p>
            <w:r>
              <w:rPr>
                <w:rFonts w:ascii="Arial" w:cs="Arial" w:eastAsia="Arial" w:hAnsi="Arial"/>
                <w:b/>
                <w:bCs/>
                <w:sz w:val="18"/>
                <w:szCs w:val="18"/>
              </w:rPr>
              <w:t xml:space="preserve">Severity</w:t>
            </w:r>
          </w:p>
        </w:tc>
        <w:tc>
          <w:tcPr>
            <w:tcW w:type="dxa" w:w="4000"/>
            <w:shd w:color="E2E8F0" w:val="clear"/>
          </w:tcPr>
          <w:p>
            <w:r>
              <w:rPr>
                <w:rFonts w:ascii="Arial" w:cs="Arial" w:eastAsia="Arial" w:hAnsi="Arial"/>
                <w:b/>
                <w:bCs/>
                <w:sz w:val="18"/>
                <w:szCs w:val="18"/>
              </w:rPr>
              <w:t xml:space="preserve">Definition</w:t>
            </w:r>
          </w:p>
        </w:tc>
        <w:tc>
          <w:tcPr>
            <w:tcW w:type="dxa" w:w="1800"/>
            <w:shd w:color="E2E8F0" w:val="clear"/>
          </w:tcPr>
          <w:p>
            <w:r>
              <w:rPr>
                <w:rFonts w:ascii="Arial" w:cs="Arial" w:eastAsia="Arial" w:hAnsi="Arial"/>
                <w:b/>
                <w:bCs/>
                <w:sz w:val="18"/>
                <w:szCs w:val="18"/>
              </w:rPr>
              <w:t xml:space="preserve">Response time</w:t>
            </w:r>
          </w:p>
        </w:tc>
        <w:tc>
          <w:tcPr>
            <w:tcW w:type="dxa" w:w="2360"/>
            <w:shd w:color="E2E8F0" w:val="clear"/>
          </w:tcPr>
          <w:p>
            <w:r>
              <w:rPr>
                <w:rFonts w:ascii="Arial" w:cs="Arial" w:eastAsia="Arial" w:hAnsi="Arial"/>
                <w:b/>
                <w:bCs/>
                <w:sz w:val="18"/>
                <w:szCs w:val="18"/>
              </w:rPr>
              <w:t xml:space="preserve">Escalation</w:t>
            </w:r>
          </w:p>
        </w:tc>
      </w:tr>
      <w:tr>
        <w:tc>
          <w:p>
            <w:r>
              <w:rPr>
                <w:rFonts w:ascii="Arial" w:cs="Arial" w:eastAsia="Arial" w:hAnsi="Arial"/>
                <w:b w:val="false"/>
                <w:bCs w:val="false"/>
                <w:sz w:val="18"/>
                <w:szCs w:val="18"/>
              </w:rPr>
              <w:t xml:space="preserve">P1 -- Critical</w:t>
            </w:r>
          </w:p>
        </w:tc>
        <w:tc>
          <w:p>
            <w:r>
              <w:rPr>
                <w:rFonts w:ascii="Arial" w:cs="Arial" w:eastAsia="Arial" w:hAnsi="Arial"/>
                <w:b w:val="false"/>
                <w:bCs w:val="false"/>
                <w:sz w:val="18"/>
                <w:szCs w:val="18"/>
              </w:rPr>
              <w:t xml:space="preserve">False positive confirmed: auto-posted invoice with incorrect GL code. Corpus corruption affecting multiple vendors. LLM generating hallucinated explanations at scale.</w:t>
            </w:r>
          </w:p>
        </w:tc>
        <w:tc>
          <w:p>
            <w:r>
              <w:rPr>
                <w:rFonts w:ascii="Arial" w:cs="Arial" w:eastAsia="Arial" w:hAnsi="Arial"/>
                <w:b w:val="false"/>
                <w:bCs w:val="false"/>
                <w:sz w:val="18"/>
                <w:szCs w:val="18"/>
              </w:rPr>
              <w:t xml:space="preserve">Immediate (&lt;1 hour)</w:t>
            </w:r>
          </w:p>
        </w:tc>
        <w:tc>
          <w:p>
            <w:r>
              <w:rPr>
                <w:rFonts w:ascii="Arial" w:cs="Arial" w:eastAsia="Arial" w:hAnsi="Arial"/>
                <w:b w:val="false"/>
                <w:bCs w:val="false"/>
                <w:sz w:val="18"/>
                <w:szCs w:val="18"/>
              </w:rPr>
              <w:t xml:space="preserve">CEO, client CFO, legal</w:t>
            </w:r>
          </w:p>
        </w:tc>
      </w:tr>
      <w:tr>
        <w:tc>
          <w:p>
            <w:r>
              <w:rPr>
                <w:rFonts w:ascii="Arial" w:cs="Arial" w:eastAsia="Arial" w:hAnsi="Arial"/>
                <w:b w:val="false"/>
                <w:bCs w:val="false"/>
                <w:sz w:val="18"/>
                <w:szCs w:val="18"/>
              </w:rPr>
              <w:t xml:space="preserve">P2 -- High</w:t>
            </w:r>
          </w:p>
        </w:tc>
        <w:tc>
          <w:p>
            <w:r>
              <w:rPr>
                <w:rFonts w:ascii="Arial" w:cs="Arial" w:eastAsia="Arial" w:hAnsi="Arial"/>
                <w:b w:val="false"/>
                <w:bCs w:val="false"/>
                <w:sz w:val="18"/>
                <w:szCs w:val="18"/>
              </w:rPr>
              <w:t xml:space="preserve">False positive rate &gt;1% over 24 hours. RAGAS score drop &gt;10pp. Systematic routing failures. ERP posting failures &gt;10%.</w:t>
            </w:r>
          </w:p>
        </w:tc>
        <w:tc>
          <w:p>
            <w:r>
              <w:rPr>
                <w:rFonts w:ascii="Arial" w:cs="Arial" w:eastAsia="Arial" w:hAnsi="Arial"/>
                <w:b w:val="false"/>
                <w:bCs w:val="false"/>
                <w:sz w:val="18"/>
                <w:szCs w:val="18"/>
              </w:rPr>
              <w:t xml:space="preserve">&lt;4 hours</w:t>
            </w:r>
          </w:p>
        </w:tc>
        <w:tc>
          <w:p>
            <w:r>
              <w:rPr>
                <w:rFonts w:ascii="Arial" w:cs="Arial" w:eastAsia="Arial" w:hAnsi="Arial"/>
                <w:b w:val="false"/>
                <w:bCs w:val="false"/>
                <w:sz w:val="18"/>
                <w:szCs w:val="18"/>
              </w:rPr>
              <w:t xml:space="preserve">CTO, client AP Manager</w:t>
            </w:r>
          </w:p>
        </w:tc>
      </w:tr>
      <w:tr>
        <w:tc>
          <w:p>
            <w:r>
              <w:rPr>
                <w:rFonts w:ascii="Arial" w:cs="Arial" w:eastAsia="Arial" w:hAnsi="Arial"/>
                <w:b w:val="false"/>
                <w:bCs w:val="false"/>
                <w:sz w:val="18"/>
                <w:szCs w:val="18"/>
              </w:rPr>
              <w:t xml:space="preserve">P3 -- Medium</w:t>
            </w:r>
          </w:p>
        </w:tc>
        <w:tc>
          <w:p>
            <w:r>
              <w:rPr>
                <w:rFonts w:ascii="Arial" w:cs="Arial" w:eastAsia="Arial" w:hAnsi="Arial"/>
                <w:b w:val="false"/>
                <w:bCs w:val="false"/>
                <w:sz w:val="18"/>
                <w:szCs w:val="18"/>
              </w:rPr>
              <w:t xml:space="preserve">Accuracy rate &lt;97% over 7 days. Individual miscoded invoice discovered by client. Explanation quality degradation.</w:t>
            </w:r>
          </w:p>
        </w:tc>
        <w:tc>
          <w:p>
            <w:r>
              <w:rPr>
                <w:rFonts w:ascii="Arial" w:cs="Arial" w:eastAsia="Arial" w:hAnsi="Arial"/>
                <w:b w:val="false"/>
                <w:bCs w:val="false"/>
                <w:sz w:val="18"/>
                <w:szCs w:val="18"/>
              </w:rPr>
              <w:t xml:space="preserve">Next business day</w:t>
            </w:r>
          </w:p>
        </w:tc>
        <w:tc>
          <w:p>
            <w:r>
              <w:rPr>
                <w:rFonts w:ascii="Arial" w:cs="Arial" w:eastAsia="Arial" w:hAnsi="Arial"/>
                <w:b w:val="false"/>
                <w:bCs w:val="false"/>
                <w:sz w:val="18"/>
                <w:szCs w:val="18"/>
              </w:rPr>
              <w:t xml:space="preserve">Tech lead, client AP Manager</w:t>
            </w:r>
          </w:p>
        </w:tc>
      </w:tr>
      <w:tr>
        <w:tc>
          <w:p>
            <w:r>
              <w:rPr>
                <w:rFonts w:ascii="Arial" w:cs="Arial" w:eastAsia="Arial" w:hAnsi="Arial"/>
                <w:b w:val="false"/>
                <w:bCs w:val="false"/>
                <w:sz w:val="18"/>
                <w:szCs w:val="18"/>
              </w:rPr>
              <w:t xml:space="preserve">P4 -- Low</w:t>
            </w:r>
          </w:p>
        </w:tc>
        <w:tc>
          <w:p>
            <w:r>
              <w:rPr>
                <w:rFonts w:ascii="Arial" w:cs="Arial" w:eastAsia="Arial" w:hAnsi="Arial"/>
                <w:b w:val="false"/>
                <w:bCs w:val="false"/>
                <w:sz w:val="18"/>
                <w:szCs w:val="18"/>
              </w:rPr>
              <w:t xml:space="preserve">RAGAS score drop &lt;5pp. Individual corpus outlier flagged. Performance degradation within SLA.</w:t>
            </w:r>
          </w:p>
        </w:tc>
        <w:tc>
          <w:p>
            <w:r>
              <w:rPr>
                <w:rFonts w:ascii="Arial" w:cs="Arial" w:eastAsia="Arial" w:hAnsi="Arial"/>
                <w:b w:val="false"/>
                <w:bCs w:val="false"/>
                <w:sz w:val="18"/>
                <w:szCs w:val="18"/>
              </w:rPr>
              <w:t xml:space="preserve">Within 5 days</w:t>
            </w:r>
          </w:p>
        </w:tc>
        <w:tc>
          <w:p>
            <w:r>
              <w:rPr>
                <w:rFonts w:ascii="Arial" w:cs="Arial" w:eastAsia="Arial" w:hAnsi="Arial"/>
                <w:b w:val="false"/>
                <w:bCs w:val="false"/>
                <w:sz w:val="18"/>
                <w:szCs w:val="18"/>
              </w:rPr>
              <w:t xml:space="preserve">Tech lead</w:t>
            </w:r>
          </w:p>
        </w:tc>
      </w:tr>
    </w:tbl>
    <w:p/>
    <w:p>
      <w:pPr>
        <w:pStyle w:val="Heading2"/>
      </w:pPr>
      <w:r>
        <w:t xml:space="preserve">6.2 P1 Response Procedure</w:t>
      </w:r>
    </w:p>
    <w:p>
      <w:pPr>
        <w:pStyle w:val="ListParagraph"/>
        <w:numPr>
          <w:ilvl w:val="0"/>
          <w:numId w:val="2"/>
        </w:numPr>
        <w:spacing w:after="60"/>
      </w:pPr>
      <w:r>
        <w:t xml:space="preserve">Step 1 (0-15 min): On-call engineer acknowledges PagerDuty alert. Assesses scope via Langfuse traces.</w:t>
      </w:r>
    </w:p>
    <w:p>
      <w:pPr>
        <w:pStyle w:val="ListParagraph"/>
        <w:numPr>
          <w:ilvl w:val="0"/>
          <w:numId w:val="2"/>
        </w:numPr>
        <w:spacing w:after="60"/>
      </w:pPr>
      <w:r>
        <w:t xml:space="preserve">Step 2 (15-30 min): If false positive confirmed -- disable auto-posting for affected tenant immediately. All future invoices route to human review until root cause resolved.</w:t>
      </w:r>
    </w:p>
    <w:p>
      <w:pPr>
        <w:pStyle w:val="ListParagraph"/>
        <w:numPr>
          <w:ilvl w:val="0"/>
          <w:numId w:val="2"/>
        </w:numPr>
        <w:spacing w:after="60"/>
      </w:pPr>
      <w:r>
        <w:t xml:space="preserve">Step 3 (30-60 min): Notify client AP Manager via phone and email. Do not wait for root cause analysis before notifying.</w:t>
      </w:r>
    </w:p>
    <w:p>
      <w:pPr>
        <w:pStyle w:val="ListParagraph"/>
        <w:numPr>
          <w:ilvl w:val="0"/>
          <w:numId w:val="2"/>
        </w:numPr>
        <w:spacing w:after="60"/>
      </w:pPr>
      <w:r>
        <w:t xml:space="preserve">Step 4 (1-4 hours): Root cause analysis. Identify which corpus points or model outputs caused the error.</w:t>
      </w:r>
    </w:p>
    <w:p>
      <w:pPr>
        <w:pStyle w:val="ListParagraph"/>
        <w:numPr>
          <w:ilvl w:val="0"/>
          <w:numId w:val="2"/>
        </w:numPr>
        <w:spacing w:after="60"/>
      </w:pPr>
      <w:r>
        <w:t xml:space="preserve">Step 5 (4-24 hours): Remediate. Remove or quarantine affected corpus points. Patch if code issue. Re-enable auto-posting only after remediation is verified.</w:t>
      </w:r>
    </w:p>
    <w:p>
      <w:pPr>
        <w:pStyle w:val="ListParagraph"/>
        <w:numPr>
          <w:ilvl w:val="0"/>
          <w:numId w:val="2"/>
        </w:numPr>
        <w:spacing w:after="60"/>
      </w:pPr>
      <w:r>
        <w:t xml:space="preserve">Step 6 (24-48 hours): Post-incident report delivered to client. Covers: what happened, why, what was done, what was changed to prevent recurrence.</w:t>
      </w:r>
    </w:p>
    <w:p>
      <w:pPr>
        <w:pStyle w:val="ListParagraph"/>
        <w:numPr>
          <w:ilvl w:val="0"/>
          <w:numId w:val="2"/>
        </w:numPr>
        <w:spacing w:after="60"/>
      </w:pPr>
      <w:r>
        <w:t xml:space="preserve">Step 7 (within 72 hours): If the incident constitutes a GDPR breach (financial data incorrectly processed) -- notify supervisory authority within 72 hours.</w:t>
      </w:r>
    </w:p>
    <w:p/>
    <w:p>
      <w:pPr>
        <w:pStyle w:val="Heading2"/>
      </w:pPr>
      <w:r>
        <w:t xml:space="preserve">6.3 False Positive Recovery</w:t>
      </w:r>
    </w:p>
    <w:p>
      <w:r>
        <w:rPr>
          <w:rFonts w:ascii="Arial" w:cs="Arial" w:eastAsia="Arial" w:hAnsi="Arial"/>
          <w:sz w:val="20"/>
          <w:szCs w:val="20"/>
        </w:rPr>
        <w:t xml:space="preserve">If an invoice is confirmed as auto-posted with an incorrect GL code:</w:t>
      </w:r>
    </w:p>
    <w:p>
      <w:pPr>
        <w:pStyle w:val="ListParagraph"/>
        <w:numPr>
          <w:ilvl w:val="0"/>
          <w:numId w:val="2"/>
        </w:numPr>
        <w:spacing w:after="60"/>
      </w:pPr>
      <w:r>
        <w:t xml:space="preserve">Identify the invoice in the audit log via trace ID</w:t>
      </w:r>
    </w:p>
    <w:p>
      <w:pPr>
        <w:pStyle w:val="ListParagraph"/>
        <w:numPr>
          <w:ilvl w:val="0"/>
          <w:numId w:val="2"/>
        </w:numPr>
        <w:spacing w:after="60"/>
      </w:pPr>
      <w:r>
        <w:t xml:space="preserve">Identify the evidence lines that produced the incorrect prediction</w:t>
      </w:r>
    </w:p>
    <w:p>
      <w:pPr>
        <w:pStyle w:val="ListParagraph"/>
        <w:numPr>
          <w:ilvl w:val="0"/>
          <w:numId w:val="2"/>
        </w:numPr>
        <w:spacing w:after="60"/>
      </w:pPr>
      <w:r>
        <w:t xml:space="preserve">Flag each offending corpus point as an outlier via flag_corpus_outlier() -- prevents future retrievals</w:t>
      </w:r>
    </w:p>
    <w:p>
      <w:pPr>
        <w:pStyle w:val="ListParagraph"/>
        <w:numPr>
          <w:ilvl w:val="0"/>
          <w:numId w:val="2"/>
        </w:numPr>
        <w:spacing w:after="60"/>
      </w:pPr>
      <w:r>
        <w:t xml:space="preserve">Correct the ERP posting manually via the ERP system</w:t>
      </w:r>
    </w:p>
    <w:p>
      <w:pPr>
        <w:pStyle w:val="ListParagraph"/>
        <w:numPr>
          <w:ilvl w:val="0"/>
          <w:numId w:val="2"/>
        </w:numPr>
        <w:spacing w:after="60"/>
      </w:pPr>
      <w:r>
        <w:t xml:space="preserve">Submit a correction via POST /invoices/{id}/correct -- writes the correct code to corpus with source_weight 2.0</w:t>
      </w:r>
    </w:p>
    <w:p>
      <w:pPr>
        <w:pStyle w:val="ListParagraph"/>
        <w:numPr>
          <w:ilvl w:val="0"/>
          <w:numId w:val="2"/>
        </w:numPr>
        <w:spacing w:after="60"/>
      </w:pPr>
      <w:r>
        <w:t xml:space="preserve">Investigate: was this a corpus quality issue (miscoded historical invoice) or a system logic failure?</w:t>
      </w:r>
    </w:p>
    <w:p>
      <w:pPr>
        <w:pStyle w:val="ListParagraph"/>
        <w:numPr>
          <w:ilvl w:val="0"/>
          <w:numId w:val="2"/>
        </w:numPr>
        <w:spacing w:after="60"/>
      </w:pPr>
      <w:r>
        <w:t xml:space="preserve">If corpus quality issue: initiate a targeted corpus audit for the affected vendor</w:t>
      </w:r>
    </w:p>
    <w:p>
      <w:pPr>
        <w:pStyle w:val="ListParagraph"/>
        <w:numPr>
          <w:ilvl w:val="0"/>
          <w:numId w:val="2"/>
        </w:numPr>
        <w:spacing w:after="60"/>
      </w:pPr>
      <w:r>
        <w:t xml:space="preserve">If system logic failure: raise a P1 engineering investigation</w:t>
      </w:r>
    </w:p>
    <w:p/>
    <w:p>
      <w:pPr>
        <w:pStyle w:val="Heading2"/>
      </w:pPr>
      <w:r>
        <w:t xml:space="preserve">6.4 Corpus Corruption Response</w:t>
      </w:r>
    </w:p>
    <w:p>
      <w:r>
        <w:rPr>
          <w:rFonts w:ascii="Arial" w:cs="Arial" w:eastAsia="Arial" w:hAnsi="Arial"/>
          <w:sz w:val="20"/>
          <w:szCs w:val="20"/>
        </w:rPr>
        <w:t xml:space="preserve">If the corpus is found to contain systematically miscoded invoices for a vendor:</w:t>
      </w:r>
    </w:p>
    <w:p>
      <w:pPr>
        <w:pStyle w:val="ListParagraph"/>
        <w:numPr>
          <w:ilvl w:val="0"/>
          <w:numId w:val="2"/>
        </w:numPr>
        <w:spacing w:after="60"/>
      </w:pPr>
      <w:r>
        <w:t xml:space="preserve">Suspend auto-posting for the affected vendor immediately -- route all future invoices to human review</w:t>
      </w:r>
    </w:p>
    <w:p>
      <w:pPr>
        <w:pStyle w:val="ListParagraph"/>
        <w:numPr>
          <w:ilvl w:val="0"/>
          <w:numId w:val="2"/>
        </w:numPr>
        <w:spacing w:after="60"/>
      </w:pPr>
      <w:r>
        <w:t xml:space="preserve">Retrieve all corpus points for the vendor: GET /corpus/stats?vendor_id=...</w:t>
      </w:r>
    </w:p>
    <w:p>
      <w:pPr>
        <w:pStyle w:val="ListParagraph"/>
        <w:numPr>
          <w:ilvl w:val="0"/>
          <w:numId w:val="2"/>
        </w:numPr>
        <w:spacing w:after="60"/>
      </w:pPr>
      <w:r>
        <w:t xml:space="preserve">Review the GL distribution -- identify the incorrect GL codes</w:t>
      </w:r>
    </w:p>
    <w:p>
      <w:pPr>
        <w:pStyle w:val="ListParagraph"/>
        <w:numPr>
          <w:ilvl w:val="0"/>
          <w:numId w:val="2"/>
        </w:numPr>
        <w:spacing w:after="60"/>
      </w:pPr>
      <w:r>
        <w:t xml:space="preserve">Delete the affected corpus points from Qdrant and Postgres</w:t>
      </w:r>
    </w:p>
    <w:p>
      <w:pPr>
        <w:pStyle w:val="ListParagraph"/>
        <w:numPr>
          <w:ilvl w:val="0"/>
          <w:numId w:val="2"/>
        </w:numPr>
        <w:spacing w:after="60"/>
      </w:pPr>
      <w:r>
        <w:t xml:space="preserve">Re-seed from verified historical data if available</w:t>
      </w:r>
    </w:p>
    <w:p>
      <w:pPr>
        <w:pStyle w:val="ListParagraph"/>
        <w:numPr>
          <w:ilvl w:val="0"/>
          <w:numId w:val="2"/>
        </w:numPr>
        <w:spacing w:after="60"/>
      </w:pPr>
      <w:r>
        <w:t xml:space="preserve">Re-enable auto-posting only after corpus has been verified by AP Manager</w:t>
      </w:r>
    </w:p>
    <w:p/>
    <w:p>
      <w:pPr>
        <w:pStyle w:val="Heading2"/>
      </w:pPr>
      <w:r>
        <w:t xml:space="preserve">6.5 Incident Register</w:t>
      </w:r>
    </w:p>
    <w:p>
      <w:pPr>
        <w:pStyle w:val="ListParagraph"/>
        <w:numPr>
          <w:ilvl w:val="0"/>
          <w:numId w:val="2"/>
        </w:numPr>
        <w:spacing w:after="60"/>
      </w:pPr>
      <w:r>
        <w:t xml:space="preserve">All incidents P4 and above logged in the incident register (Postgres incidents table)</w:t>
      </w:r>
    </w:p>
    <w:p>
      <w:pPr>
        <w:pStyle w:val="ListParagraph"/>
        <w:numPr>
          <w:ilvl w:val="0"/>
          <w:numId w:val="2"/>
        </w:numPr>
        <w:spacing w:after="60"/>
      </w:pPr>
      <w:r>
        <w:t xml:space="preserve">Fields: incident_id, severity, description, affected_tenant_id, detected_at, resolved_at, root_cause, remediation, recurrence_controls</w:t>
      </w:r>
    </w:p>
    <w:p>
      <w:pPr>
        <w:pStyle w:val="ListParagraph"/>
        <w:numPr>
          <w:ilvl w:val="0"/>
          <w:numId w:val="2"/>
        </w:numPr>
        <w:spacing w:after="60"/>
      </w:pPr>
      <w:r>
        <w:t xml:space="preserve">Incident register reviewed monthly -- tech lead and client AP Manager</w:t>
      </w:r>
    </w:p>
    <w:p>
      <w:pPr>
        <w:pStyle w:val="ListParagraph"/>
        <w:numPr>
          <w:ilvl w:val="0"/>
          <w:numId w:val="2"/>
        </w:numPr>
        <w:spacing w:after="60"/>
      </w:pPr>
      <w:r>
        <w:t xml:space="preserve">Quarterly trend analysis: recurring incident types identified and addressed</w:t>
      </w:r>
    </w:p>
    <w:p>
      <w:pPr>
        <w:pStyle w:val="ListParagraph"/>
        <w:numPr>
          <w:ilvl w:val="0"/>
          <w:numId w:val="2"/>
        </w:numPr>
        <w:spacing w:after="60"/>
      </w:pPr>
      <w:r>
        <w:t xml:space="preserve">Annual incident summary included in the explainability report</w:t>
      </w:r>
    </w:p>
    <w:p/>
    <w:p>
      <w:pPr>
        <w:pStyle w:val="Heading1"/>
      </w:pPr>
      <w:r>
        <w:t xml:space="preserve">7. Ongoing Compliance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rPr>
          <w:tblHeader/>
        </w:trPr>
        <w:tc>
          <w:tcPr>
            <w:tcW w:type="dxa" w:w="3500"/>
            <w:shd w:color="E2E8F0" w:val="clear"/>
          </w:tcPr>
          <w:p>
            <w:r>
              <w:rPr>
                <w:rFonts w:ascii="Arial" w:cs="Arial" w:eastAsia="Arial" w:hAnsi="Arial"/>
                <w:b/>
                <w:bCs/>
                <w:sz w:val="18"/>
                <w:szCs w:val="18"/>
              </w:rPr>
              <w:t xml:space="preserve">Activity</w:t>
            </w:r>
          </w:p>
        </w:tc>
        <w:tc>
          <w:tcPr>
            <w:tcW w:type="dxa" w:w="1800"/>
            <w:shd w:color="E2E8F0" w:val="clear"/>
          </w:tcPr>
          <w:p>
            <w:r>
              <w:rPr>
                <w:rFonts w:ascii="Arial" w:cs="Arial" w:eastAsia="Arial" w:hAnsi="Arial"/>
                <w:b/>
                <w:bCs/>
                <w:sz w:val="18"/>
                <w:szCs w:val="18"/>
              </w:rPr>
              <w:t xml:space="preserve">Frequency</w:t>
            </w:r>
          </w:p>
        </w:tc>
        <w:tc>
          <w:tcPr>
            <w:tcW w:type="dxa" w:w="2000"/>
            <w:shd w:color="E2E8F0" w:val="clear"/>
          </w:tcPr>
          <w:p>
            <w:r>
              <w:rPr>
                <w:rFonts w:ascii="Arial" w:cs="Arial" w:eastAsia="Arial" w:hAnsi="Arial"/>
                <w:b/>
                <w:bCs/>
                <w:sz w:val="18"/>
                <w:szCs w:val="18"/>
              </w:rPr>
              <w:t xml:space="preserve">Owner</w:t>
            </w:r>
          </w:p>
        </w:tc>
        <w:tc>
          <w:tcPr>
            <w:tcW w:type="dxa" w:w="2060"/>
            <w:shd w:color="E2E8F0" w:val="clear"/>
          </w:tcPr>
          <w:p>
            <w:r>
              <w:rPr>
                <w:rFonts w:ascii="Arial" w:cs="Arial" w:eastAsia="Arial" w:hAnsi="Arial"/>
                <w:b/>
                <w:bCs/>
                <w:sz w:val="18"/>
                <w:szCs w:val="18"/>
              </w:rPr>
              <w:t xml:space="preserve">Output</w:t>
            </w:r>
          </w:p>
        </w:tc>
      </w:tr>
      <w:tr>
        <w:tc>
          <w:p>
            <w:r>
              <w:rPr>
                <w:rFonts w:ascii="Arial" w:cs="Arial" w:eastAsia="Arial" w:hAnsi="Arial"/>
                <w:b w:val="false"/>
                <w:bCs w:val="false"/>
                <w:sz w:val="18"/>
                <w:szCs w:val="18"/>
              </w:rPr>
              <w:t xml:space="preserve">AI Act risk assessment review</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Akkoda legal + CTO</w:t>
            </w:r>
          </w:p>
        </w:tc>
        <w:tc>
          <w:p>
            <w:r>
              <w:rPr>
                <w:rFonts w:ascii="Arial" w:cs="Arial" w:eastAsia="Arial" w:hAnsi="Arial"/>
                <w:b w:val="false"/>
                <w:bCs w:val="false"/>
                <w:sz w:val="18"/>
                <w:szCs w:val="18"/>
              </w:rPr>
              <w:t xml:space="preserve">Updated risk assessment document</w:t>
            </w:r>
          </w:p>
        </w:tc>
      </w:tr>
      <w:tr>
        <w:tc>
          <w:p>
            <w:r>
              <w:rPr>
                <w:rFonts w:ascii="Arial" w:cs="Arial" w:eastAsia="Arial" w:hAnsi="Arial"/>
                <w:b w:val="false"/>
                <w:bCs w:val="false"/>
                <w:sz w:val="18"/>
                <w:szCs w:val="18"/>
              </w:rPr>
              <w:t xml:space="preserve">Model card review</w:t>
            </w:r>
          </w:p>
        </w:tc>
        <w:tc>
          <w:p>
            <w:r>
              <w:rPr>
                <w:rFonts w:ascii="Arial" w:cs="Arial" w:eastAsia="Arial" w:hAnsi="Arial"/>
                <w:b w:val="false"/>
                <w:bCs w:val="false"/>
                <w:sz w:val="18"/>
                <w:szCs w:val="18"/>
              </w:rPr>
              <w:t xml:space="preserve">Annual + on model change</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Updated model cards per model</w:t>
            </w:r>
          </w:p>
        </w:tc>
      </w:tr>
      <w:tr>
        <w:tc>
          <w:p>
            <w:r>
              <w:rPr>
                <w:rFonts w:ascii="Arial" w:cs="Arial" w:eastAsia="Arial" w:hAnsi="Arial"/>
                <w:b w:val="false"/>
                <w:bCs w:val="false"/>
                <w:sz w:val="18"/>
                <w:szCs w:val="18"/>
              </w:rPr>
              <w:t xml:space="preserve">Explainability report</w:t>
            </w:r>
          </w:p>
        </w:tc>
        <w:tc>
          <w:p>
            <w:r>
              <w:rPr>
                <w:rFonts w:ascii="Arial" w:cs="Arial" w:eastAsia="Arial" w:hAnsi="Arial"/>
                <w:b w:val="false"/>
                <w:bCs w:val="false"/>
                <w:sz w:val="18"/>
                <w:szCs w:val="18"/>
              </w:rPr>
              <w:t xml:space="preserve">Monthly</w:t>
            </w:r>
          </w:p>
        </w:tc>
        <w:tc>
          <w:p>
            <w:r>
              <w:rPr>
                <w:rFonts w:ascii="Arial" w:cs="Arial" w:eastAsia="Arial" w:hAnsi="Arial"/>
                <w:b w:val="false"/>
                <w:bCs w:val="false"/>
                <w:sz w:val="18"/>
                <w:szCs w:val="18"/>
              </w:rPr>
              <w:t xml:space="preserve">Automated (audit_report prompt)</w:t>
            </w:r>
          </w:p>
        </w:tc>
        <w:tc>
          <w:p>
            <w:r>
              <w:rPr>
                <w:rFonts w:ascii="Arial" w:cs="Arial" w:eastAsia="Arial" w:hAnsi="Arial"/>
                <w:b w:val="false"/>
                <w:bCs w:val="false"/>
                <w:sz w:val="18"/>
                <w:szCs w:val="18"/>
              </w:rPr>
              <w:t xml:space="preserve">PDF delivered to client</w:t>
            </w:r>
          </w:p>
        </w:tc>
      </w:tr>
      <w:tr>
        <w:tc>
          <w:p>
            <w:r>
              <w:rPr>
                <w:rFonts w:ascii="Arial" w:cs="Arial" w:eastAsia="Arial" w:hAnsi="Arial"/>
                <w:b w:val="false"/>
                <w:bCs w:val="false"/>
                <w:sz w:val="18"/>
                <w:szCs w:val="18"/>
              </w:rPr>
              <w:t xml:space="preserve">GDPR erasure SLA audit</w:t>
            </w:r>
          </w:p>
        </w:tc>
        <w:tc>
          <w:p>
            <w:r>
              <w:rPr>
                <w:rFonts w:ascii="Arial" w:cs="Arial" w:eastAsia="Arial" w:hAnsi="Arial"/>
                <w:b w:val="false"/>
                <w:bCs w:val="false"/>
                <w:sz w:val="18"/>
                <w:szCs w:val="18"/>
              </w:rPr>
              <w:t xml:space="preserve">Quarterly</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Erasure completion time vs 30-day SLA</w:t>
            </w:r>
          </w:p>
        </w:tc>
      </w:tr>
      <w:tr>
        <w:tc>
          <w:p>
            <w:r>
              <w:rPr>
                <w:rFonts w:ascii="Arial" w:cs="Arial" w:eastAsia="Arial" w:hAnsi="Arial"/>
                <w:b w:val="false"/>
                <w:bCs w:val="false"/>
                <w:sz w:val="18"/>
                <w:szCs w:val="18"/>
              </w:rPr>
              <w:t xml:space="preserve">Red team / adversarial testing</w:t>
            </w:r>
          </w:p>
        </w:tc>
        <w:tc>
          <w:p>
            <w:r>
              <w:rPr>
                <w:rFonts w:ascii="Arial" w:cs="Arial" w:eastAsia="Arial" w:hAnsi="Arial"/>
                <w:b w:val="false"/>
                <w:bCs w:val="false"/>
                <w:sz w:val="18"/>
                <w:szCs w:val="18"/>
              </w:rPr>
              <w:t xml:space="preserve">Quarterly</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Red team report, new test cases added to suite</w:t>
            </w:r>
          </w:p>
        </w:tc>
      </w:tr>
      <w:tr>
        <w:tc>
          <w:p>
            <w:r>
              <w:rPr>
                <w:rFonts w:ascii="Arial" w:cs="Arial" w:eastAsia="Arial" w:hAnsi="Arial"/>
                <w:b w:val="false"/>
                <w:bCs w:val="false"/>
                <w:sz w:val="18"/>
                <w:szCs w:val="18"/>
              </w:rPr>
              <w:t xml:space="preserve">Penetration test</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External CREST firm</w:t>
            </w:r>
          </w:p>
        </w:tc>
        <w:tc>
          <w:p>
            <w:r>
              <w:rPr>
                <w:rFonts w:ascii="Arial" w:cs="Arial" w:eastAsia="Arial" w:hAnsi="Arial"/>
                <w:b w:val="false"/>
                <w:bCs w:val="false"/>
                <w:sz w:val="18"/>
                <w:szCs w:val="18"/>
              </w:rPr>
              <w:t xml:space="preserve">Pentest report, remediation tracker</w:t>
            </w:r>
          </w:p>
        </w:tc>
      </w:tr>
      <w:tr>
        <w:tc>
          <w:p>
            <w:r>
              <w:rPr>
                <w:rFonts w:ascii="Arial" w:cs="Arial" w:eastAsia="Arial" w:hAnsi="Arial"/>
                <w:b w:val="false"/>
                <w:bCs w:val="false"/>
                <w:sz w:val="18"/>
                <w:szCs w:val="18"/>
              </w:rPr>
              <w:t xml:space="preserve">Anthropic usage policy review</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Compliance confirmation</w:t>
            </w:r>
          </w:p>
        </w:tc>
      </w:tr>
      <w:tr>
        <w:tc>
          <w:p>
            <w:r>
              <w:rPr>
                <w:rFonts w:ascii="Arial" w:cs="Arial" w:eastAsia="Arial" w:hAnsi="Arial"/>
                <w:b w:val="false"/>
                <w:bCs w:val="false"/>
                <w:sz w:val="18"/>
                <w:szCs w:val="18"/>
              </w:rPr>
              <w:t xml:space="preserve">Incident register review</w:t>
            </w:r>
          </w:p>
        </w:tc>
        <w:tc>
          <w:p>
            <w:r>
              <w:rPr>
                <w:rFonts w:ascii="Arial" w:cs="Arial" w:eastAsia="Arial" w:hAnsi="Arial"/>
                <w:b w:val="false"/>
                <w:bCs w:val="false"/>
                <w:sz w:val="18"/>
                <w:szCs w:val="18"/>
              </w:rPr>
              <w:t xml:space="preserve">Monthly</w:t>
            </w:r>
          </w:p>
        </w:tc>
        <w:tc>
          <w:p>
            <w:r>
              <w:rPr>
                <w:rFonts w:ascii="Arial" w:cs="Arial" w:eastAsia="Arial" w:hAnsi="Arial"/>
                <w:b w:val="false"/>
                <w:bCs w:val="false"/>
                <w:sz w:val="18"/>
                <w:szCs w:val="18"/>
              </w:rPr>
              <w:t xml:space="preserve">Tech lead + client AP Manager</w:t>
            </w:r>
          </w:p>
        </w:tc>
        <w:tc>
          <w:p>
            <w:r>
              <w:rPr>
                <w:rFonts w:ascii="Arial" w:cs="Arial" w:eastAsia="Arial" w:hAnsi="Arial"/>
                <w:b w:val="false"/>
                <w:bCs w:val="false"/>
                <w:sz w:val="18"/>
                <w:szCs w:val="18"/>
              </w:rPr>
              <w:t xml:space="preserve">Trend analysis, recurrence controls</w:t>
            </w:r>
          </w:p>
        </w:tc>
      </w:tr>
      <w:tr>
        <w:tc>
          <w:p>
            <w:r>
              <w:rPr>
                <w:rFonts w:ascii="Arial" w:cs="Arial" w:eastAsia="Arial" w:hAnsi="Arial"/>
                <w:b w:val="false"/>
                <w:bCs w:val="false"/>
                <w:sz w:val="18"/>
                <w:szCs w:val="18"/>
              </w:rPr>
              <w:t xml:space="preserve">Disclosure text review</w:t>
            </w:r>
          </w:p>
        </w:tc>
        <w:tc>
          <w:p>
            <w:r>
              <w:rPr>
                <w:rFonts w:ascii="Arial" w:cs="Arial" w:eastAsia="Arial" w:hAnsi="Arial"/>
                <w:b w:val="false"/>
                <w:bCs w:val="false"/>
                <w:sz w:val="18"/>
                <w:szCs w:val="18"/>
              </w:rPr>
              <w:t xml:space="preserve">On material system change</w:t>
            </w:r>
          </w:p>
        </w:tc>
        <w:tc>
          <w:p>
            <w:r>
              <w:rPr>
                <w:rFonts w:ascii="Arial" w:cs="Arial" w:eastAsia="Arial" w:hAnsi="Arial"/>
                <w:b w:val="false"/>
                <w:bCs w:val="false"/>
                <w:sz w:val="18"/>
                <w:szCs w:val="18"/>
              </w:rPr>
              <w:t xml:space="preserve">Akkoda legal + client legal</w:t>
            </w:r>
          </w:p>
        </w:tc>
        <w:tc>
          <w:p>
            <w:r>
              <w:rPr>
                <w:rFonts w:ascii="Arial" w:cs="Arial" w:eastAsia="Arial" w:hAnsi="Arial"/>
                <w:b w:val="false"/>
                <w:bCs w:val="false"/>
                <w:sz w:val="18"/>
                <w:szCs w:val="18"/>
              </w:rPr>
              <w:t xml:space="preserve">Updated disclosure, clerk re-acknowledgement</w:t>
            </w:r>
          </w:p>
        </w:tc>
      </w:tr>
      <w:tr>
        <w:tc>
          <w:p>
            <w:r>
              <w:rPr>
                <w:rFonts w:ascii="Arial" w:cs="Arial" w:eastAsia="Arial" w:hAnsi="Arial"/>
                <w:b w:val="false"/>
                <w:bCs w:val="false"/>
                <w:sz w:val="18"/>
                <w:szCs w:val="18"/>
              </w:rPr>
              <w:t xml:space="preserve">Client deployer register check</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Client compliance team</w:t>
            </w:r>
          </w:p>
        </w:tc>
        <w:tc>
          <w:p>
            <w:r>
              <w:rPr>
                <w:rFonts w:ascii="Arial" w:cs="Arial" w:eastAsia="Arial" w:hAnsi="Arial"/>
                <w:b w:val="false"/>
                <w:bCs w:val="false"/>
                <w:sz w:val="18"/>
                <w:szCs w:val="18"/>
              </w:rPr>
              <w:t xml:space="preserve">Confirmation that AP Automation is in client AI register</w:t>
            </w:r>
          </w:p>
        </w:tc>
      </w:tr>
    </w:tbl>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2026-10-15T20:08:47.277Z</dcterms:created>
  <dcterms:modified xsi:type="dcterms:W3CDTF">2026-10-15T20:08:47.285Z</dcterms:modified>
</cp:coreProperties>
</file>

<file path=docProps/custom.xml><?xml version="1.0" encoding="utf-8"?>
<Properties xmlns="http://schemas.openxmlformats.org/officeDocument/2006/custom-properties" xmlns:vt="http://schemas.openxmlformats.org/officeDocument/2006/docPropsVTypes"/>
</file>