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 Automation -- Client Onboarding and Implementation Guide</w:t>
      </w:r>
    </w:p>
    <w:p>
      <w:r>
        <w:rPr>
          <w:rFonts w:ascii="Arial" w:cs="Arial" w:eastAsia="Arial" w:hAnsi="Arial"/>
          <w:sz w:val="20"/>
          <w:szCs w:val="20"/>
        </w:rPr>
        <w:t xml:space="preserve">End-to-end guide for onboarding a new client -- from initial data extract through shadow mode with multimodal invoice ingestion to production go-live, AI Act transparency disclosure, model card disclosure, and AP clerk training.</w:t>
      </w:r>
    </w:p>
    <w:p>
      <w:r>
        <w:rPr>
          <w:rFonts w:ascii="Arial" w:cs="Arial" w:eastAsia="Arial" w:hAnsi="Arial"/>
          <w:sz w:val="20"/>
          <w:szCs w:val="20"/>
        </w:rPr>
        <w:t xml:space="preserve">October 2026 | Form Consulting Services | Akkoda</w:t>
      </w:r>
    </w:p>
    <w:p/>
    <w:p>
      <w:pPr>
        <w:pStyle w:val="Heading1"/>
      </w:pPr>
      <w:r>
        <w:t xml:space="preserve">1. Onboarding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1800"/>
        <w:gridCol w:w="2560"/>
      </w:tblGrid>
      <w:tr>
        <w:trPr>
          <w:tblHeader/>
        </w:trPr>
        <w:tc>
          <w:tcPr>
            <w:tcW w:type="dxa" w:w="1000"/>
            <w:shd w:color="E2E8F0" w:val="clear"/>
          </w:tcPr>
          <w:p>
            <w:r>
              <w:rPr>
                <w:rFonts w:ascii="Arial" w:cs="Arial" w:eastAsia="Arial" w:hAnsi="Arial"/>
                <w:b/>
                <w:bCs/>
                <w:sz w:val="18"/>
                <w:szCs w:val="18"/>
              </w:rPr>
              <w:t xml:space="preserve">Phase</w:t>
            </w:r>
          </w:p>
        </w:tc>
        <w:tc>
          <w:tcPr>
            <w:tcW w:type="dxa" w:w="4000"/>
            <w:shd w:color="E2E8F0" w:val="clear"/>
          </w:tcPr>
          <w:p>
            <w:r>
              <w:rPr>
                <w:rFonts w:ascii="Arial" w:cs="Arial" w:eastAsia="Arial" w:hAnsi="Arial"/>
                <w:b/>
                <w:bCs/>
                <w:sz w:val="18"/>
                <w:szCs w:val="18"/>
              </w:rPr>
              <w:t xml:space="preserve">Activity</w:t>
            </w:r>
          </w:p>
        </w:tc>
        <w:tc>
          <w:tcPr>
            <w:tcW w:type="dxa" w:w="1800"/>
            <w:shd w:color="E2E8F0" w:val="clear"/>
          </w:tcPr>
          <w:p>
            <w:r>
              <w:rPr>
                <w:rFonts w:ascii="Arial" w:cs="Arial" w:eastAsia="Arial" w:hAnsi="Arial"/>
                <w:b/>
                <w:bCs/>
                <w:sz w:val="18"/>
                <w:szCs w:val="18"/>
              </w:rPr>
              <w:t xml:space="preserve">Owner</w:t>
            </w:r>
          </w:p>
        </w:tc>
        <w:tc>
          <w:tcPr>
            <w:tcW w:type="dxa" w:w="2560"/>
            <w:shd w:color="E2E8F0" w:val="clear"/>
          </w:tcPr>
          <w:p>
            <w:r>
              <w:rPr>
                <w:rFonts w:ascii="Arial" w:cs="Arial" w:eastAsia="Arial" w:hAnsi="Arial"/>
                <w:b/>
                <w:bCs/>
                <w:sz w:val="18"/>
                <w:szCs w:val="18"/>
              </w:rPr>
              <w:t xml:space="preserve">Duration</w:t>
            </w:r>
          </w:p>
        </w:tc>
      </w:tr>
      <w:tr>
        <w:tc>
          <w:p>
            <w:r>
              <w:rPr>
                <w:rFonts w:ascii="Arial" w:cs="Arial" w:eastAsia="Arial" w:hAnsi="Arial"/>
                <w:b w:val="false"/>
                <w:bCs w:val="false"/>
                <w:sz w:val="18"/>
                <w:szCs w:val="18"/>
              </w:rPr>
              <w:t xml:space="preserve">1</w:t>
            </w:r>
          </w:p>
        </w:tc>
        <w:tc>
          <w:p>
            <w:r>
              <w:rPr>
                <w:rFonts w:ascii="Arial" w:cs="Arial" w:eastAsia="Arial" w:hAnsi="Arial"/>
                <w:b w:val="false"/>
                <w:bCs w:val="false"/>
                <w:sz w:val="18"/>
                <w:szCs w:val="18"/>
              </w:rPr>
              <w:t xml:space="preserve">Discovery -- data audit, ERP access, chart of accounts, AI Act disclosure</w:t>
            </w:r>
          </w:p>
        </w:tc>
        <w:tc>
          <w:p>
            <w:r>
              <w:rPr>
                <w:rFonts w:ascii="Arial" w:cs="Arial" w:eastAsia="Arial" w:hAnsi="Arial"/>
                <w:b w:val="false"/>
                <w:bCs w:val="false"/>
                <w:sz w:val="18"/>
                <w:szCs w:val="18"/>
              </w:rPr>
              <w:t xml:space="preserve">Akkoda + Client</w:t>
            </w:r>
          </w:p>
        </w:tc>
        <w:tc>
          <w:p>
            <w:r>
              <w:rPr>
                <w:rFonts w:ascii="Arial" w:cs="Arial" w:eastAsia="Arial" w:hAnsi="Arial"/>
                <w:b w:val="false"/>
                <w:bCs w:val="false"/>
                <w:sz w:val="18"/>
                <w:szCs w:val="18"/>
              </w:rPr>
              <w:t xml:space="preserve">1 week</w:t>
            </w:r>
          </w:p>
        </w:tc>
      </w:tr>
      <w:tr>
        <w:tc>
          <w:p>
            <w:r>
              <w:rPr>
                <w:rFonts w:ascii="Arial" w:cs="Arial" w:eastAsia="Arial" w:hAnsi="Arial"/>
                <w:b w:val="false"/>
                <w:bCs w:val="false"/>
                <w:sz w:val="18"/>
                <w:szCs w:val="18"/>
              </w:rPr>
              <w:t xml:space="preserve">2</w:t>
            </w:r>
          </w:p>
        </w:tc>
        <w:tc>
          <w:p>
            <w:r>
              <w:rPr>
                <w:rFonts w:ascii="Arial" w:cs="Arial" w:eastAsia="Arial" w:hAnsi="Arial"/>
                <w:b w:val="false"/>
                <w:bCs w:val="false"/>
                <w:sz w:val="18"/>
                <w:szCs w:val="18"/>
              </w:rPr>
              <w:t xml:space="preserve">Data extract -- historical confirmed invoices including PDFs/images</w:t>
            </w:r>
          </w:p>
        </w:tc>
        <w:tc>
          <w:p>
            <w:r>
              <w:rPr>
                <w:rFonts w:ascii="Arial" w:cs="Arial" w:eastAsia="Arial" w:hAnsi="Arial"/>
                <w:b w:val="false"/>
                <w:bCs w:val="false"/>
                <w:sz w:val="18"/>
                <w:szCs w:val="18"/>
              </w:rPr>
              <w:t xml:space="preserve">Client AP team</w:t>
            </w:r>
          </w:p>
        </w:tc>
        <w:tc>
          <w:p>
            <w:r>
              <w:rPr>
                <w:rFonts w:ascii="Arial" w:cs="Arial" w:eastAsia="Arial" w:hAnsi="Arial"/>
                <w:b w:val="false"/>
                <w:bCs w:val="false"/>
                <w:sz w:val="18"/>
                <w:szCs w:val="18"/>
              </w:rPr>
              <w:t xml:space="preserve">1 week</w:t>
            </w:r>
          </w:p>
        </w:tc>
      </w:tr>
      <w:tr>
        <w:tc>
          <w:p>
            <w:r>
              <w:rPr>
                <w:rFonts w:ascii="Arial" w:cs="Arial" w:eastAsia="Arial" w:hAnsi="Arial"/>
                <w:b w:val="false"/>
                <w:bCs w:val="false"/>
                <w:sz w:val="18"/>
                <w:szCs w:val="18"/>
              </w:rPr>
              <w:t xml:space="preserve">3</w:t>
            </w:r>
          </w:p>
        </w:tc>
        <w:tc>
          <w:p>
            <w:r>
              <w:rPr>
                <w:rFonts w:ascii="Arial" w:cs="Arial" w:eastAsia="Arial" w:hAnsi="Arial"/>
                <w:b w:val="false"/>
                <w:bCs w:val="false"/>
                <w:sz w:val="18"/>
                <w:szCs w:val="18"/>
              </w:rPr>
              <w:t xml:space="preserve">Corpus seeding -- validate, clean, index text and multimodal invoice history</w:t>
            </w:r>
          </w:p>
        </w:tc>
        <w:tc>
          <w:p>
            <w:r>
              <w:rPr>
                <w:rFonts w:ascii="Arial" w:cs="Arial" w:eastAsia="Arial" w:hAnsi="Arial"/>
                <w:b w:val="false"/>
                <w:bCs w:val="false"/>
                <w:sz w:val="18"/>
                <w:szCs w:val="18"/>
              </w:rPr>
              <w:t xml:space="preserve">Akkoda</w:t>
            </w:r>
          </w:p>
        </w:tc>
        <w:tc>
          <w:p>
            <w:r>
              <w:rPr>
                <w:rFonts w:ascii="Arial" w:cs="Arial" w:eastAsia="Arial" w:hAnsi="Arial"/>
                <w:b w:val="false"/>
                <w:bCs w:val="false"/>
                <w:sz w:val="18"/>
                <w:szCs w:val="18"/>
              </w:rPr>
              <w:t xml:space="preserve">2-3 days</w:t>
            </w:r>
          </w:p>
        </w:tc>
      </w:tr>
      <w:tr>
        <w:tc>
          <w:p>
            <w:r>
              <w:rPr>
                <w:rFonts w:ascii="Arial" w:cs="Arial" w:eastAsia="Arial" w:hAnsi="Arial"/>
                <w:b w:val="false"/>
                <w:bCs w:val="false"/>
                <w:sz w:val="18"/>
                <w:szCs w:val="18"/>
              </w:rPr>
              <w:t xml:space="preserve">4</w:t>
            </w:r>
          </w:p>
        </w:tc>
        <w:tc>
          <w:p>
            <w:r>
              <w:rPr>
                <w:rFonts w:ascii="Arial" w:cs="Arial" w:eastAsia="Arial" w:hAnsi="Arial"/>
                <w:b w:val="false"/>
                <w:bCs w:val="false"/>
                <w:sz w:val="18"/>
                <w:szCs w:val="18"/>
              </w:rPr>
              <w:t xml:space="preserve">Graph construction -- build supplier knowledge graph from corpus</w:t>
            </w:r>
          </w:p>
        </w:tc>
        <w:tc>
          <w:p>
            <w:r>
              <w:rPr>
                <w:rFonts w:ascii="Arial" w:cs="Arial" w:eastAsia="Arial" w:hAnsi="Arial"/>
                <w:b w:val="false"/>
                <w:bCs w:val="false"/>
                <w:sz w:val="18"/>
                <w:szCs w:val="18"/>
              </w:rPr>
              <w:t xml:space="preserve">Akkoda</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5</w:t>
            </w:r>
          </w:p>
        </w:tc>
        <w:tc>
          <w:p>
            <w:r>
              <w:rPr>
                <w:rFonts w:ascii="Arial" w:cs="Arial" w:eastAsia="Arial" w:hAnsi="Arial"/>
                <w:b w:val="false"/>
                <w:bCs w:val="false"/>
                <w:sz w:val="18"/>
                <w:szCs w:val="18"/>
              </w:rPr>
              <w:t xml:space="preserve">Shadow mode -- 30 days predicting without posting, including multimodal invoices</w:t>
            </w:r>
          </w:p>
        </w:tc>
        <w:tc>
          <w:p>
            <w:r>
              <w:rPr>
                <w:rFonts w:ascii="Arial" w:cs="Arial" w:eastAsia="Arial" w:hAnsi="Arial"/>
                <w:b w:val="false"/>
                <w:bCs w:val="false"/>
                <w:sz w:val="18"/>
                <w:szCs w:val="18"/>
              </w:rPr>
              <w:t xml:space="preserve">System + Client</w:t>
            </w:r>
          </w:p>
        </w:tc>
        <w:tc>
          <w:p>
            <w:r>
              <w:rPr>
                <w:rFonts w:ascii="Arial" w:cs="Arial" w:eastAsia="Arial" w:hAnsi="Arial"/>
                <w:b w:val="false"/>
                <w:bCs w:val="false"/>
                <w:sz w:val="18"/>
                <w:szCs w:val="18"/>
              </w:rPr>
              <w:t xml:space="preserve">30 days</w:t>
            </w:r>
          </w:p>
        </w:tc>
      </w:tr>
      <w:tr>
        <w:tc>
          <w:p>
            <w:r>
              <w:rPr>
                <w:rFonts w:ascii="Arial" w:cs="Arial" w:eastAsia="Arial" w:hAnsi="Arial"/>
                <w:b w:val="false"/>
                <w:bCs w:val="false"/>
                <w:sz w:val="18"/>
                <w:szCs w:val="18"/>
              </w:rPr>
              <w:t xml:space="preserve">6</w:t>
            </w:r>
          </w:p>
        </w:tc>
        <w:tc>
          <w:p>
            <w:r>
              <w:rPr>
                <w:rFonts w:ascii="Arial" w:cs="Arial" w:eastAsia="Arial" w:hAnsi="Arial"/>
                <w:b w:val="false"/>
                <w:bCs w:val="false"/>
                <w:sz w:val="18"/>
                <w:szCs w:val="18"/>
              </w:rPr>
              <w:t xml:space="preserve">Go-live report -- projected automation rate, accuracy, model card disclosure</w:t>
            </w:r>
          </w:p>
        </w:tc>
        <w:tc>
          <w:p>
            <w:r>
              <w:rPr>
                <w:rFonts w:ascii="Arial" w:cs="Arial" w:eastAsia="Arial" w:hAnsi="Arial"/>
                <w:b w:val="false"/>
                <w:bCs w:val="false"/>
                <w:sz w:val="18"/>
                <w:szCs w:val="18"/>
              </w:rPr>
              <w:t xml:space="preserve">Akkoda</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7</w:t>
            </w:r>
          </w:p>
        </w:tc>
        <w:tc>
          <w:p>
            <w:r>
              <w:rPr>
                <w:rFonts w:ascii="Arial" w:cs="Arial" w:eastAsia="Arial" w:hAnsi="Arial"/>
                <w:b w:val="false"/>
                <w:bCs w:val="false"/>
                <w:sz w:val="18"/>
                <w:szCs w:val="18"/>
              </w:rPr>
              <w:t xml:space="preserve">Go-live -- switch to live mode, AI Act transparency disclosure, clerk training</w:t>
            </w:r>
          </w:p>
        </w:tc>
        <w:tc>
          <w:p>
            <w:r>
              <w:rPr>
                <w:rFonts w:ascii="Arial" w:cs="Arial" w:eastAsia="Arial" w:hAnsi="Arial"/>
                <w:b w:val="false"/>
                <w:bCs w:val="false"/>
                <w:sz w:val="18"/>
                <w:szCs w:val="18"/>
              </w:rPr>
              <w:t xml:space="preserve">Akkoda + Client</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8</w:t>
            </w:r>
          </w:p>
        </w:tc>
        <w:tc>
          <w:p>
            <w:r>
              <w:rPr>
                <w:rFonts w:ascii="Arial" w:cs="Arial" w:eastAsia="Arial" w:hAnsi="Arial"/>
                <w:b w:val="false"/>
                <w:bCs w:val="false"/>
                <w:sz w:val="18"/>
                <w:szCs w:val="18"/>
              </w:rPr>
              <w:t xml:space="preserve">Hypercare -- 2 weeks of close monitoring post go-live</w:t>
            </w:r>
          </w:p>
        </w:tc>
        <w:tc>
          <w:p>
            <w:r>
              <w:rPr>
                <w:rFonts w:ascii="Arial" w:cs="Arial" w:eastAsia="Arial" w:hAnsi="Arial"/>
                <w:b w:val="false"/>
                <w:bCs w:val="false"/>
                <w:sz w:val="18"/>
                <w:szCs w:val="18"/>
              </w:rPr>
              <w:t xml:space="preserve">Akkoda</w:t>
            </w:r>
          </w:p>
        </w:tc>
        <w:tc>
          <w:p>
            <w:r>
              <w:rPr>
                <w:rFonts w:ascii="Arial" w:cs="Arial" w:eastAsia="Arial" w:hAnsi="Arial"/>
                <w:b w:val="false"/>
                <w:bCs w:val="false"/>
                <w:sz w:val="18"/>
                <w:szCs w:val="18"/>
              </w:rPr>
              <w:t xml:space="preserve">2 weeks</w:t>
            </w:r>
          </w:p>
        </w:tc>
      </w:tr>
    </w:tbl>
    <w:p/>
    <w:p>
      <w:pPr>
        <w:pStyle w:val="Heading1"/>
      </w:pPr>
      <w:r>
        <w:t xml:space="preserve">2. Phase 1 -- Discovery</w:t>
      </w:r>
    </w:p>
    <w:p/>
    <w:p>
      <w:pPr>
        <w:pStyle w:val="Heading2"/>
      </w:pPr>
      <w:r>
        <w:t xml:space="preserve">2.1 Data Audit</w:t>
      </w:r>
    </w:p>
    <w:p>
      <w:pPr>
        <w:pStyle w:val="ListParagraph"/>
        <w:numPr>
          <w:ilvl w:val="0"/>
          <w:numId w:val="2"/>
        </w:numPr>
        <w:spacing w:after="60"/>
      </w:pPr>
      <w:r>
        <w:t xml:space="preserve">How many invoices per month? (non-PO specifically)</w:t>
      </w:r>
    </w:p>
    <w:p>
      <w:pPr>
        <w:pStyle w:val="ListParagraph"/>
        <w:numPr>
          <w:ilvl w:val="0"/>
          <w:numId w:val="2"/>
        </w:numPr>
        <w:spacing w:after="60"/>
      </w:pPr>
      <w:r>
        <w:t xml:space="preserve">What proportion arrive as PDFs or images vs structured data? (multimodal planning)</w:t>
      </w:r>
    </w:p>
    <w:p>
      <w:pPr>
        <w:pStyle w:val="ListParagraph"/>
        <w:numPr>
          <w:ilvl w:val="0"/>
          <w:numId w:val="2"/>
        </w:numPr>
        <w:spacing w:after="60"/>
      </w:pPr>
      <w:r>
        <w:t xml:space="preserve">How many unique vendors appear regularly?</w:t>
      </w:r>
    </w:p>
    <w:p>
      <w:pPr>
        <w:pStyle w:val="ListParagraph"/>
        <w:numPr>
          <w:ilvl w:val="0"/>
          <w:numId w:val="2"/>
        </w:numPr>
        <w:spacing w:after="60"/>
      </w:pPr>
      <w:r>
        <w:t xml:space="preserve">What is the current coding accuracy?</w:t>
      </w:r>
    </w:p>
    <w:p>
      <w:pPr>
        <w:pStyle w:val="ListParagraph"/>
        <w:numPr>
          <w:ilvl w:val="0"/>
          <w:numId w:val="2"/>
        </w:numPr>
        <w:spacing w:after="60"/>
      </w:pPr>
      <w:r>
        <w:t xml:space="preserve">Are there coding policies documented?</w:t>
      </w:r>
    </w:p>
    <w:p>
      <w:pPr>
        <w:pStyle w:val="ListParagraph"/>
        <w:numPr>
          <w:ilvl w:val="0"/>
          <w:numId w:val="2"/>
        </w:numPr>
        <w:spacing w:after="60"/>
      </w:pPr>
      <w:r>
        <w:t xml:space="preserve">What ERP system and version?</w:t>
      </w:r>
    </w:p>
    <w:p>
      <w:pPr>
        <w:pStyle w:val="ListParagraph"/>
        <w:numPr>
          <w:ilvl w:val="0"/>
          <w:numId w:val="2"/>
        </w:numPr>
        <w:spacing w:after="60"/>
      </w:pPr>
      <w:r>
        <w:t xml:space="preserve">Does the client have existing AI tools in the AP process? (AI Act disclosure planning)</w:t>
      </w:r>
    </w:p>
    <w:p/>
    <w:p>
      <w:pPr>
        <w:pStyle w:val="Heading2"/>
      </w:pPr>
      <w:r>
        <w:t xml:space="preserve">2.2 AI Act Transparency Disclosure (Phase 1)</w:t>
      </w:r>
    </w:p>
    <w:p>
      <w:r>
        <w:rPr>
          <w:rFonts w:ascii="Arial" w:cs="Arial" w:eastAsia="Arial" w:hAnsi="Arial"/>
          <w:sz w:val="20"/>
          <w:szCs w:val="20"/>
        </w:rPr>
        <w:t xml:space="preserve">The EU AI Act classifies automated financial decision systems as high-risk or limited-risk depending on their degree of automation. The AP Automation system must be disclosed to the client before go-live. This disclosure is a Phase 1 activity, not an afterthought.</w:t>
      </w:r>
    </w:p>
    <w:p>
      <w:pPr>
        <w:pStyle w:val="ListParagraph"/>
        <w:numPr>
          <w:ilvl w:val="0"/>
          <w:numId w:val="2"/>
        </w:numPr>
        <w:spacing w:after="60"/>
      </w:pPr>
      <w:r>
        <w:t xml:space="preserve">Prepare the AI Transparency Disclosure document (template in Appendix A)</w:t>
      </w:r>
    </w:p>
    <w:p>
      <w:pPr>
        <w:pStyle w:val="ListParagraph"/>
        <w:numPr>
          <w:ilvl w:val="0"/>
          <w:numId w:val="2"/>
        </w:numPr>
        <w:spacing w:after="60"/>
      </w:pPr>
      <w:r>
        <w:t xml:space="preserve">Confirm with client legal/compliance team that the system classification is acceptable</w:t>
      </w:r>
    </w:p>
    <w:p>
      <w:pPr>
        <w:pStyle w:val="ListParagraph"/>
        <w:numPr>
          <w:ilvl w:val="0"/>
          <w:numId w:val="2"/>
        </w:numPr>
        <w:spacing w:after="60"/>
      </w:pPr>
      <w:r>
        <w:t xml:space="preserve">Agree on the disclosure language to be shown to AP clerks in the review queue UI</w:t>
      </w:r>
    </w:p>
    <w:p>
      <w:pPr>
        <w:pStyle w:val="ListParagraph"/>
        <w:numPr>
          <w:ilvl w:val="0"/>
          <w:numId w:val="2"/>
        </w:numPr>
        <w:spacing w:after="60"/>
      </w:pPr>
      <w:r>
        <w:t xml:space="preserve">Confirm that the client will maintain a register of AI systems in use (EU AI Act requirement for deployers)</w:t>
      </w:r>
    </w:p>
    <w:p>
      <w:pPr>
        <w:pStyle w:val="ListParagraph"/>
        <w:numPr>
          <w:ilvl w:val="0"/>
          <w:numId w:val="2"/>
        </w:numPr>
        <w:spacing w:after="60"/>
      </w:pPr>
      <w:r>
        <w:t xml:space="preserve">Sign the AI Deployment Agreement -- Akkoda retains a signed copy</w:t>
      </w:r>
    </w:p>
    <w:p/>
    <w:p>
      <w:pPr>
        <w:pStyle w:val="Heading2"/>
      </w:pPr>
      <w:r>
        <w:t xml:space="preserve">2.3 ERP Access</w:t>
      </w:r>
    </w:p>
    <w:p>
      <w:pPr>
        <w:pStyle w:val="ListParagraph"/>
        <w:numPr>
          <w:ilvl w:val="0"/>
          <w:numId w:val="2"/>
        </w:numPr>
        <w:spacing w:after="60"/>
      </w:pPr>
      <w:r>
        <w:t xml:space="preserve">Confirm ERP type and version</w:t>
      </w:r>
    </w:p>
    <w:p>
      <w:pPr>
        <w:pStyle w:val="ListParagraph"/>
        <w:numPr>
          <w:ilvl w:val="0"/>
          <w:numId w:val="2"/>
        </w:numPr>
        <w:spacing w:after="60"/>
      </w:pPr>
      <w:r>
        <w:t xml:space="preserve">Identify API credentials scope required</w:t>
      </w:r>
    </w:p>
    <w:p>
      <w:pPr>
        <w:pStyle w:val="ListParagraph"/>
        <w:numPr>
          <w:ilvl w:val="0"/>
          <w:numId w:val="2"/>
        </w:numPr>
        <w:spacing w:after="60"/>
      </w:pPr>
      <w:r>
        <w:t xml:space="preserve">Test API connectivity from Akkoda infrastructure</w:t>
      </w:r>
    </w:p>
    <w:p>
      <w:pPr>
        <w:pStyle w:val="ListParagraph"/>
        <w:numPr>
          <w:ilvl w:val="0"/>
          <w:numId w:val="2"/>
        </w:numPr>
        <w:spacing w:after="60"/>
      </w:pPr>
      <w:r>
        <w:t xml:space="preserve">If no API available: confirm computer use approach is acceptable -- show demo</w:t>
      </w:r>
    </w:p>
    <w:p>
      <w:pPr>
        <w:pStyle w:val="ListParagraph"/>
        <w:numPr>
          <w:ilvl w:val="0"/>
          <w:numId w:val="2"/>
        </w:numPr>
        <w:spacing w:after="60"/>
      </w:pPr>
      <w:r>
        <w:t xml:space="preserve">Confirm invoice posting format and field mapping</w:t>
      </w:r>
    </w:p>
    <w:p/>
    <w:p>
      <w:pPr>
        <w:pStyle w:val="Heading2"/>
      </w:pPr>
      <w:r>
        <w:t xml:space="preserve">2.4 Model Card Disclosure</w:t>
      </w:r>
    </w:p>
    <w:p>
      <w:r>
        <w:rPr>
          <w:rFonts w:ascii="Arial" w:cs="Arial" w:eastAsia="Arial" w:hAnsi="Arial"/>
          <w:sz w:val="20"/>
          <w:szCs w:val="20"/>
        </w:rPr>
        <w:t xml:space="preserve">The system uses multiple AI models. The client must be informed which models are used and for what purpose before go-live. The model card is prepared in Phase 1 and provided to the client in the go-live report (Phase 6).</w:t>
      </w:r>
    </w:p>
    <w:p>
      <w:pPr>
        <w:pStyle w:val="ListParagraph"/>
        <w:numPr>
          <w:ilvl w:val="0"/>
          <w:numId w:val="2"/>
        </w:numPr>
        <w:spacing w:after="60"/>
      </w:pPr>
      <w:r>
        <w:t xml:space="preserve">text-embedding-3-small (OpenAI): invoice description embedding for retrieval</w:t>
      </w:r>
    </w:p>
    <w:p>
      <w:pPr>
        <w:pStyle w:val="ListParagraph"/>
        <w:numPr>
          <w:ilvl w:val="0"/>
          <w:numId w:val="2"/>
        </w:numPr>
        <w:spacing w:after="60"/>
      </w:pPr>
      <w:r>
        <w:t xml:space="preserve">claude-haiku-5-5 (Anthropic): explanation generation, rule parsing</w:t>
      </w:r>
    </w:p>
    <w:p>
      <w:pPr>
        <w:pStyle w:val="ListParagraph"/>
        <w:numPr>
          <w:ilvl w:val="0"/>
          <w:numId w:val="2"/>
        </w:numPr>
        <w:spacing w:after="60"/>
      </w:pPr>
      <w:r>
        <w:t xml:space="preserve">claude-sonnet-5-5 (Anthropic): complex reasoning, audit reports</w:t>
      </w:r>
    </w:p>
    <w:p>
      <w:pPr>
        <w:pStyle w:val="ListParagraph"/>
        <w:numPr>
          <w:ilvl w:val="0"/>
          <w:numId w:val="2"/>
        </w:numPr>
        <w:spacing w:after="60"/>
      </w:pPr>
      <w:r>
        <w:t xml:space="preserve">ColPali (open source, optional): multimodal invoice image retrieval</w:t>
      </w:r>
    </w:p>
    <w:p>
      <w:pPr>
        <w:pStyle w:val="ListParagraph"/>
        <w:numPr>
          <w:ilvl w:val="0"/>
          <w:numId w:val="2"/>
        </w:numPr>
        <w:spacing w:after="60"/>
      </w:pPr>
      <w:r>
        <w:t xml:space="preserve">For each model: provider, version, purpose, data sent (description only -- no personal data), retention policy (none -- no data retained by provider beyond the request)</w:t>
      </w:r>
    </w:p>
    <w:p/>
    <w:p>
      <w:pPr>
        <w:pStyle w:val="Heading1"/>
      </w:pPr>
      <w:r>
        <w:t xml:space="preserve">3. Phase 2 -- Historical Data Extract</w:t>
      </w:r>
    </w:p>
    <w:p/>
    <w:p>
      <w:pPr>
        <w:pStyle w:val="Heading2"/>
      </w:pPr>
      <w:r>
        <w:t xml:space="preserve">3.1 Extract Specification -- Text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3660"/>
      </w:tblGrid>
      <w:tr>
        <w:trPr>
          <w:tblHeader/>
        </w:trPr>
        <w:tc>
          <w:tcPr>
            <w:tcW w:type="dxa" w:w="2500"/>
            <w:shd w:color="E2E8F0" w:val="clear"/>
          </w:tcPr>
          <w:p>
            <w:r>
              <w:rPr>
                <w:rFonts w:ascii="Arial" w:cs="Arial" w:eastAsia="Arial" w:hAnsi="Arial"/>
                <w:b/>
                <w:bCs/>
                <w:sz w:val="18"/>
                <w:szCs w:val="18"/>
              </w:rPr>
              <w:t xml:space="preserve">Field</w:t>
            </w:r>
          </w:p>
        </w:tc>
        <w:tc>
          <w:tcPr>
            <w:tcW w:type="dxa" w:w="2000"/>
            <w:shd w:color="E2E8F0" w:val="clear"/>
          </w:tcPr>
          <w:p>
            <w:r>
              <w:rPr>
                <w:rFonts w:ascii="Arial" w:cs="Arial" w:eastAsia="Arial" w:hAnsi="Arial"/>
                <w:b/>
                <w:bCs/>
                <w:sz w:val="18"/>
                <w:szCs w:val="18"/>
              </w:rPr>
              <w:t xml:space="preserve">Format</w:t>
            </w:r>
          </w:p>
        </w:tc>
        <w:tc>
          <w:tcPr>
            <w:tcW w:type="dxa" w:w="1200"/>
            <w:shd w:color="E2E8F0" w:val="clear"/>
          </w:tcPr>
          <w:p>
            <w:r>
              <w:rPr>
                <w:rFonts w:ascii="Arial" w:cs="Arial" w:eastAsia="Arial" w:hAnsi="Arial"/>
                <w:b/>
                <w:bCs/>
                <w:sz w:val="18"/>
                <w:szCs w:val="18"/>
              </w:rPr>
              <w:t xml:space="preserve">Required</w:t>
            </w:r>
          </w:p>
        </w:tc>
        <w:tc>
          <w:tcPr>
            <w:tcW w:type="dxa" w:w="3660"/>
            <w:shd w:color="E2E8F0" w:val="clear"/>
          </w:tcPr>
          <w:p>
            <w:r>
              <w:rPr>
                <w:rFonts w:ascii="Arial" w:cs="Arial" w:eastAsia="Arial" w:hAnsi="Arial"/>
                <w:b/>
                <w:bCs/>
                <w:sz w:val="18"/>
                <w:szCs w:val="18"/>
              </w:rPr>
              <w:t xml:space="preserve">Notes</w:t>
            </w:r>
          </w:p>
        </w:tc>
      </w:tr>
      <w:tr>
        <w:tc>
          <w:p>
            <w:r>
              <w:rPr>
                <w:rFonts w:ascii="Arial" w:cs="Arial" w:eastAsia="Arial" w:hAnsi="Arial"/>
                <w:b w:val="false"/>
                <w:bCs w:val="false"/>
                <w:sz w:val="18"/>
                <w:szCs w:val="18"/>
              </w:rPr>
              <w:t xml:space="preserve">invoice_id</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Any unique reference</w:t>
            </w:r>
          </w:p>
        </w:tc>
      </w:tr>
      <w:tr>
        <w:tc>
          <w:p>
            <w:r>
              <w:rPr>
                <w:rFonts w:ascii="Arial" w:cs="Arial" w:eastAsia="Arial" w:hAnsi="Arial"/>
                <w:b w:val="false"/>
                <w:bCs w:val="false"/>
                <w:sz w:val="18"/>
                <w:szCs w:val="18"/>
              </w:rPr>
              <w:t xml:space="preserve">raw_vendor_name</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Exactly as on invoice</w:t>
            </w:r>
          </w:p>
        </w:tc>
      </w:tr>
      <w:tr>
        <w:tc>
          <w:p>
            <w:r>
              <w:rPr>
                <w:rFonts w:ascii="Arial" w:cs="Arial" w:eastAsia="Arial" w:hAnsi="Arial"/>
                <w:b w:val="false"/>
                <w:bCs w:val="false"/>
                <w:sz w:val="18"/>
                <w:szCs w:val="18"/>
              </w:rPr>
              <w:t xml:space="preserve">description</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Invoice line description</w:t>
            </w:r>
          </w:p>
        </w:tc>
      </w:tr>
      <w:tr>
        <w:tc>
          <w:p>
            <w:r>
              <w:rPr>
                <w:rFonts w:ascii="Arial" w:cs="Arial" w:eastAsia="Arial" w:hAnsi="Arial"/>
                <w:b w:val="false"/>
                <w:bCs w:val="false"/>
                <w:sz w:val="18"/>
                <w:szCs w:val="18"/>
              </w:rPr>
              <w:t xml:space="preserve">amount</w:t>
            </w:r>
          </w:p>
        </w:tc>
        <w:tc>
          <w:p>
            <w:r>
              <w:rPr>
                <w:rFonts w:ascii="Arial" w:cs="Arial" w:eastAsia="Arial" w:hAnsi="Arial"/>
                <w:b w:val="false"/>
                <w:bCs w:val="false"/>
                <w:sz w:val="18"/>
                <w:szCs w:val="18"/>
              </w:rPr>
              <w:t xml:space="preserve">Decimal</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Line amount ex VAT</w:t>
            </w:r>
          </w:p>
        </w:tc>
      </w:tr>
      <w:tr>
        <w:tc>
          <w:p>
            <w:r>
              <w:rPr>
                <w:rFonts w:ascii="Arial" w:cs="Arial" w:eastAsia="Arial" w:hAnsi="Arial"/>
                <w:b w:val="false"/>
                <w:bCs w:val="false"/>
                <w:sz w:val="18"/>
                <w:szCs w:val="18"/>
              </w:rPr>
              <w:t xml:space="preserve">currency</w:t>
            </w:r>
          </w:p>
        </w:tc>
        <w:tc>
          <w:p>
            <w:r>
              <w:rPr>
                <w:rFonts w:ascii="Arial" w:cs="Arial" w:eastAsia="Arial" w:hAnsi="Arial"/>
                <w:b w:val="false"/>
                <w:bCs w:val="false"/>
                <w:sz w:val="18"/>
                <w:szCs w:val="18"/>
              </w:rPr>
              <w:t xml:space="preserve">ISO 4217</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GBP, EUR, USD etc.</w:t>
            </w:r>
          </w:p>
        </w:tc>
      </w:tr>
      <w:tr>
        <w:tc>
          <w:p>
            <w:r>
              <w:rPr>
                <w:rFonts w:ascii="Arial" w:cs="Arial" w:eastAsia="Arial" w:hAnsi="Arial"/>
                <w:b w:val="false"/>
                <w:bCs w:val="false"/>
                <w:sz w:val="18"/>
                <w:szCs w:val="18"/>
              </w:rPr>
              <w:t xml:space="preserve">gl_account</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Confirmed GL code</w:t>
            </w:r>
          </w:p>
        </w:tc>
      </w:tr>
      <w:tr>
        <w:tc>
          <w:p>
            <w:r>
              <w:rPr>
                <w:rFonts w:ascii="Arial" w:cs="Arial" w:eastAsia="Arial" w:hAnsi="Arial"/>
                <w:b w:val="false"/>
                <w:bCs w:val="false"/>
                <w:sz w:val="18"/>
                <w:szCs w:val="18"/>
              </w:rPr>
              <w:t xml:space="preserve">cost_centre</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No</w:t>
            </w:r>
          </w:p>
        </w:tc>
        <w:tc>
          <w:p>
            <w:r>
              <w:rPr>
                <w:rFonts w:ascii="Arial" w:cs="Arial" w:eastAsia="Arial" w:hAnsi="Arial"/>
                <w:b w:val="false"/>
                <w:bCs w:val="false"/>
                <w:sz w:val="18"/>
                <w:szCs w:val="18"/>
              </w:rPr>
              <w:t xml:space="preserve">If applicable</w:t>
            </w:r>
          </w:p>
        </w:tc>
      </w:tr>
      <w:tr>
        <w:tc>
          <w:p>
            <w:r>
              <w:rPr>
                <w:rFonts w:ascii="Arial" w:cs="Arial" w:eastAsia="Arial" w:hAnsi="Arial"/>
                <w:b w:val="false"/>
                <w:bCs w:val="false"/>
                <w:sz w:val="18"/>
                <w:szCs w:val="18"/>
              </w:rPr>
              <w:t xml:space="preserve">entity_id</w:t>
            </w:r>
          </w:p>
        </w:tc>
        <w:tc>
          <w:p>
            <w:r>
              <w:rPr>
                <w:rFonts w:ascii="Arial" w:cs="Arial" w:eastAsia="Arial" w:hAnsi="Arial"/>
                <w:b w:val="false"/>
                <w:bCs w:val="false"/>
                <w:sz w:val="18"/>
                <w:szCs w:val="18"/>
              </w:rPr>
              <w:t xml:space="preserve">String</w:t>
            </w:r>
          </w:p>
        </w:tc>
        <w:tc>
          <w:p>
            <w:r>
              <w:rPr>
                <w:rFonts w:ascii="Arial" w:cs="Arial" w:eastAsia="Arial" w:hAnsi="Arial"/>
                <w:b w:val="false"/>
                <w:bCs w:val="false"/>
                <w:sz w:val="18"/>
                <w:szCs w:val="18"/>
              </w:rPr>
              <w:t xml:space="preserve">No</w:t>
            </w:r>
          </w:p>
        </w:tc>
        <w:tc>
          <w:p>
            <w:r>
              <w:rPr>
                <w:rFonts w:ascii="Arial" w:cs="Arial" w:eastAsia="Arial" w:hAnsi="Arial"/>
                <w:b w:val="false"/>
                <w:bCs w:val="false"/>
                <w:sz w:val="18"/>
                <w:szCs w:val="18"/>
              </w:rPr>
              <w:t xml:space="preserve">If multi-entity</w:t>
            </w:r>
          </w:p>
        </w:tc>
      </w:tr>
      <w:tr>
        <w:tc>
          <w:p>
            <w:r>
              <w:rPr>
                <w:rFonts w:ascii="Arial" w:cs="Arial" w:eastAsia="Arial" w:hAnsi="Arial"/>
                <w:b w:val="false"/>
                <w:bCs w:val="false"/>
                <w:sz w:val="18"/>
                <w:szCs w:val="18"/>
              </w:rPr>
              <w:t xml:space="preserve">confirmed_date</w:t>
            </w:r>
          </w:p>
        </w:tc>
        <w:tc>
          <w:p>
            <w:r>
              <w:rPr>
                <w:rFonts w:ascii="Arial" w:cs="Arial" w:eastAsia="Arial" w:hAnsi="Arial"/>
                <w:b w:val="false"/>
                <w:bCs w:val="false"/>
                <w:sz w:val="18"/>
                <w:szCs w:val="18"/>
              </w:rPr>
              <w:t xml:space="preserve">ISO 8601</w:t>
            </w:r>
          </w:p>
        </w:tc>
        <w:tc>
          <w:p>
            <w:r>
              <w:rPr>
                <w:rFonts w:ascii="Arial" w:cs="Arial" w:eastAsia="Arial" w:hAnsi="Arial"/>
                <w:b w:val="false"/>
                <w:bCs w:val="false"/>
                <w:sz w:val="18"/>
                <w:szCs w:val="18"/>
              </w:rPr>
              <w:t xml:space="preserve">Yes</w:t>
            </w:r>
          </w:p>
        </w:tc>
        <w:tc>
          <w:p>
            <w:r>
              <w:rPr>
                <w:rFonts w:ascii="Arial" w:cs="Arial" w:eastAsia="Arial" w:hAnsi="Arial"/>
                <w:b w:val="false"/>
                <w:bCs w:val="false"/>
                <w:sz w:val="18"/>
                <w:szCs w:val="18"/>
              </w:rPr>
              <w:t xml:space="preserve">Date confirmed/posted</w:t>
            </w:r>
          </w:p>
        </w:tc>
      </w:tr>
    </w:tbl>
    <w:p/>
    <w:p>
      <w:pPr>
        <w:pStyle w:val="Heading2"/>
      </w:pPr>
      <w:r>
        <w:t xml:space="preserve">3.2 Extract Specification -- Multimodal (PDF/Image) Invoices</w:t>
      </w:r>
    </w:p>
    <w:p>
      <w:r>
        <w:rPr>
          <w:rFonts w:ascii="Arial" w:cs="Arial" w:eastAsia="Arial" w:hAnsi="Arial"/>
          <w:sz w:val="20"/>
          <w:szCs w:val="20"/>
        </w:rPr>
        <w:t xml:space="preserve">If the client has invoices that arrived as PDFs or images, these should also be included in the historical extract to enable multimodal corpus seeding.</w:t>
      </w:r>
    </w:p>
    <w:p>
      <w:pPr>
        <w:pStyle w:val="ListParagraph"/>
        <w:numPr>
          <w:ilvl w:val="0"/>
          <w:numId w:val="2"/>
        </w:numPr>
        <w:spacing w:after="60"/>
      </w:pPr>
      <w:r>
        <w:t xml:space="preserve">PDF files: original invoice PDFs, named by invoice_id</w:t>
      </w:r>
    </w:p>
    <w:p>
      <w:pPr>
        <w:pStyle w:val="ListParagraph"/>
        <w:numPr>
          <w:ilvl w:val="0"/>
          <w:numId w:val="2"/>
        </w:numPr>
        <w:spacing w:after="60"/>
      </w:pPr>
      <w:r>
        <w:t xml:space="preserve">Image files: JPEG or PNG scans of invoices, named by invoice_id</w:t>
      </w:r>
    </w:p>
    <w:p>
      <w:pPr>
        <w:pStyle w:val="ListParagraph"/>
        <w:numPr>
          <w:ilvl w:val="0"/>
          <w:numId w:val="2"/>
        </w:numPr>
        <w:spacing w:after="60"/>
      </w:pPr>
      <w:r>
        <w:t xml:space="preserve">Metadata CSV: invoice_id, confirmed_gl, confirmed_date -- matches each file to its confirmed outcome</w:t>
      </w:r>
    </w:p>
    <w:p>
      <w:pPr>
        <w:pStyle w:val="ListParagraph"/>
        <w:numPr>
          <w:ilvl w:val="0"/>
          <w:numId w:val="2"/>
        </w:numPr>
        <w:spacing w:after="60"/>
      </w:pPr>
      <w:r>
        <w:t xml:space="preserve">Volume estimate: how many PDF/image invoices in the historical dataset?</w:t>
      </w:r>
    </w:p>
    <w:p>
      <w:pPr>
        <w:pStyle w:val="ListParagraph"/>
        <w:numPr>
          <w:ilvl w:val="0"/>
          <w:numId w:val="2"/>
        </w:numPr>
        <w:spacing w:after="60"/>
      </w:pPr>
      <w:r>
        <w:t xml:space="preserve">If PDF volume is large (&gt;1,000): prioritise most recent 12 months for initial seeding</w:t>
      </w:r>
    </w:p>
    <w:p/>
    <w:p>
      <w:pPr>
        <w:pStyle w:val="Heading2"/>
      </w:pPr>
      <w:r>
        <w:t xml:space="preserve">3.3 Minimum Data Requirements</w:t>
      </w:r>
    </w:p>
    <w:p>
      <w:pPr>
        <w:pStyle w:val="ListParagraph"/>
        <w:numPr>
          <w:ilvl w:val="0"/>
          <w:numId w:val="2"/>
        </w:numPr>
        <w:spacing w:after="60"/>
      </w:pPr>
      <w:r>
        <w:t xml:space="preserve">Minimum 500 confirmed invoice lines to begin seeding</w:t>
      </w:r>
    </w:p>
    <w:p>
      <w:pPr>
        <w:pStyle w:val="ListParagraph"/>
        <w:numPr>
          <w:ilvl w:val="0"/>
          <w:numId w:val="2"/>
        </w:numPr>
        <w:spacing w:after="60"/>
      </w:pPr>
      <w:r>
        <w:t xml:space="preserve">Ideally 50+ lines per active vendor</w:t>
      </w:r>
    </w:p>
    <w:p>
      <w:pPr>
        <w:pStyle w:val="ListParagraph"/>
        <w:numPr>
          <w:ilvl w:val="0"/>
          <w:numId w:val="2"/>
        </w:numPr>
        <w:spacing w:after="60"/>
      </w:pPr>
      <w:r>
        <w:t xml:space="preserve">At least 100 multimodal invoices if the client has a significant PDF/image volume</w:t>
      </w:r>
    </w:p>
    <w:p>
      <w:pPr>
        <w:pStyle w:val="ListParagraph"/>
        <w:numPr>
          <w:ilvl w:val="0"/>
          <w:numId w:val="2"/>
        </w:numPr>
        <w:spacing w:after="60"/>
      </w:pPr>
      <w:r>
        <w:t xml:space="preserve">Delivered via secure SFTP or encrypted file share -- not plain email</w:t>
      </w:r>
    </w:p>
    <w:p/>
    <w:p>
      <w:pPr>
        <w:pStyle w:val="Heading1"/>
      </w:pPr>
      <w:r>
        <w:t xml:space="preserve">4. Phase 3 -- Corpus Seeding</w:t>
      </w:r>
    </w:p>
    <w:p/>
    <w:p>
      <w:pPr>
        <w:pStyle w:val="Heading2"/>
      </w:pPr>
      <w:r>
        <w:t xml:space="preserve">4.1 Text Invoice Seeding</w:t>
      </w:r>
    </w:p>
    <w:p>
      <w:pPr>
        <w:pStyle w:val="ListParagraph"/>
        <w:numPr>
          <w:ilvl w:val="0"/>
          <w:numId w:val="2"/>
        </w:numPr>
        <w:spacing w:after="60"/>
      </w:pPr>
      <w:r>
        <w:t xml:space="preserve">Validate all GL codes against active chart of accounts</w:t>
      </w:r>
    </w:p>
    <w:p>
      <w:pPr>
        <w:pStyle w:val="ListParagraph"/>
        <w:numPr>
          <w:ilvl w:val="0"/>
          <w:numId w:val="2"/>
        </w:numPr>
        <w:spacing w:after="60"/>
      </w:pPr>
      <w:r>
        <w:t xml:space="preserve">Flag descriptions shorter than 3 words</w:t>
      </w:r>
    </w:p>
    <w:p>
      <w:pPr>
        <w:pStyle w:val="ListParagraph"/>
        <w:numPr>
          <w:ilvl w:val="0"/>
          <w:numId w:val="2"/>
        </w:numPr>
        <w:spacing w:after="60"/>
      </w:pPr>
      <w:r>
        <w:t xml:space="preserve">Detect near-duplicate descriptions -- deduplicate before indexing</w:t>
      </w:r>
    </w:p>
    <w:p>
      <w:pPr>
        <w:pStyle w:val="ListParagraph"/>
        <w:numPr>
          <w:ilvl w:val="0"/>
          <w:numId w:val="2"/>
        </w:numPr>
        <w:spacing w:after="60"/>
      </w:pPr>
      <w:r>
        <w:t xml:space="preserve">Generate vendor map: raw_name -&gt; canonical_id</w:t>
      </w:r>
    </w:p>
    <w:p>
      <w:pPr>
        <w:pStyle w:val="ListParagraph"/>
        <w:numPr>
          <w:ilvl w:val="0"/>
          <w:numId w:val="2"/>
        </w:numPr>
        <w:spacing w:after="60"/>
      </w:pPr>
      <w:r>
        <w:t xml:space="preserve">Embed all descriptions via text-embedding-3-small in batches of 1,000</w:t>
      </w:r>
    </w:p>
    <w:p>
      <w:pPr>
        <w:pStyle w:val="ListParagraph"/>
        <w:numPr>
          <w:ilvl w:val="0"/>
          <w:numId w:val="2"/>
        </w:numPr>
        <w:spacing w:after="60"/>
      </w:pPr>
      <w:r>
        <w:t xml:space="preserve">Index to Qdrant with dense vectors -- sparse vectors (BM25) generated automatically</w:t>
      </w:r>
    </w:p>
    <w:p/>
    <w:p>
      <w:pPr>
        <w:pStyle w:val="Heading2"/>
      </w:pPr>
      <w:r>
        <w:t xml:space="preserve">4.2 Multimodal Invoice Seeding</w:t>
      </w:r>
    </w:p>
    <w:p>
      <w:r>
        <w:rPr>
          <w:rFonts w:ascii="Arial" w:cs="Arial" w:eastAsia="Arial" w:hAnsi="Arial"/>
          <w:sz w:val="20"/>
          <w:szCs w:val="20"/>
        </w:rPr>
        <w:t xml:space="preserve">PDF and image invoices require extraction before embedding. This is a more complex seeding process.</w:t>
      </w:r>
    </w:p>
    <w:p>
      <w:pPr>
        <w:pStyle w:val="ListParagraph"/>
        <w:numPr>
          <w:ilvl w:val="0"/>
          <w:numId w:val="2"/>
        </w:numPr>
        <w:spacing w:after="60"/>
      </w:pPr>
      <w:r>
        <w:t xml:space="preserve">Step 1: PDFs with selectable text -- extract text layer directly</w:t>
      </w:r>
    </w:p>
    <w:p>
      <w:pPr>
        <w:pStyle w:val="ListParagraph"/>
        <w:numPr>
          <w:ilvl w:val="0"/>
          <w:numId w:val="2"/>
        </w:numPr>
        <w:spacing w:after="60"/>
      </w:pPr>
      <w:r>
        <w:t xml:space="preserve">Step 2: Scanned PDFs and images -- route to Claude vision for OCR and structured extraction</w:t>
      </w:r>
    </w:p>
    <w:p>
      <w:pPr>
        <w:pStyle w:val="ListParagraph"/>
        <w:numPr>
          <w:ilvl w:val="0"/>
          <w:numId w:val="2"/>
        </w:numPr>
        <w:spacing w:after="60"/>
      </w:pPr>
      <w:r>
        <w:t xml:space="preserve">Step 3: Validate extracted fields: vendor name, description, amount, GL code</w:t>
      </w:r>
    </w:p>
    <w:p>
      <w:pPr>
        <w:pStyle w:val="ListParagraph"/>
        <w:numPr>
          <w:ilvl w:val="0"/>
          <w:numId w:val="2"/>
        </w:numPr>
        <w:spacing w:after="60"/>
      </w:pPr>
      <w:r>
        <w:t xml:space="preserve">Step 4: Flag low-confidence extractions (extraction_confidence &lt; 0.7) for manual review before indexing</w:t>
      </w:r>
    </w:p>
    <w:p>
      <w:pPr>
        <w:pStyle w:val="ListParagraph"/>
        <w:numPr>
          <w:ilvl w:val="0"/>
          <w:numId w:val="2"/>
        </w:numPr>
        <w:spacing w:after="60"/>
      </w:pPr>
      <w:r>
        <w:t xml:space="preserve">Step 5: Index to Qdrant with dense text vectors; also index ColPali multi-vectors if ColPali is enabled for this tenant</w:t>
      </w:r>
    </w:p>
    <w:p>
      <w:pPr>
        <w:pStyle w:val="ListParagraph"/>
        <w:numPr>
          <w:ilvl w:val="0"/>
          <w:numId w:val="2"/>
        </w:numPr>
        <w:spacing w:after="60"/>
      </w:pPr>
      <w:r>
        <w:t xml:space="preserve">Step 6: Store original PDF/image in S3, linked to corpus point via pdf_s3_key</w:t>
      </w:r>
    </w:p>
    <w:p/>
    <w:p>
      <w:pPr>
        <w:pStyle w:val="Heading2"/>
      </w:pPr>
      <w:r>
        <w:t xml:space="preserve">4.3 Graph Construction</w:t>
      </w:r>
    </w:p>
    <w:p>
      <w:r>
        <w:rPr>
          <w:rFonts w:ascii="Arial" w:cs="Arial" w:eastAsia="Arial" w:hAnsi="Arial"/>
          <w:sz w:val="20"/>
          <w:szCs w:val="20"/>
        </w:rPr>
        <w:t xml:space="preserve">After corpus seeding, build the supplier knowledge graph from the indexed corpus.</w:t>
      </w:r>
    </w:p>
    <w:p>
      <w:pPr>
        <w:pStyle w:val="ListParagraph"/>
        <w:numPr>
          <w:ilvl w:val="0"/>
          <w:numId w:val="2"/>
        </w:numPr>
        <w:spacing w:after="60"/>
      </w:pPr>
      <w:r>
        <w:t xml:space="preserve">Extract all vendor -&gt; GL account relationships from corpus with frequency and confidence</w:t>
      </w:r>
    </w:p>
    <w:p>
      <w:pPr>
        <w:pStyle w:val="ListParagraph"/>
        <w:numPr>
          <w:ilvl w:val="0"/>
          <w:numId w:val="2"/>
        </w:numPr>
        <w:spacing w:after="60"/>
      </w:pPr>
      <w:r>
        <w:t xml:space="preserve">Extract vendor -&gt; site relationships from entity_id and cost_centre fields</w:t>
      </w:r>
    </w:p>
    <w:p>
      <w:pPr>
        <w:pStyle w:val="ListParagraph"/>
        <w:numPr>
          <w:ilvl w:val="0"/>
          <w:numId w:val="2"/>
        </w:numPr>
        <w:spacing w:after="60"/>
      </w:pPr>
      <w:r>
        <w:t xml:space="preserve">Build graph in Neo4j Aura (or NetworkX for simpler deployments)</w:t>
      </w:r>
    </w:p>
    <w:p>
      <w:pPr>
        <w:pStyle w:val="ListParagraph"/>
        <w:numPr>
          <w:ilvl w:val="0"/>
          <w:numId w:val="2"/>
        </w:numPr>
        <w:spacing w:after="60"/>
      </w:pPr>
      <w:r>
        <w:t xml:space="preserve">Run graph validation: confirm parent/subsidiary relationships look correct with client AP manager</w:t>
      </w:r>
    </w:p>
    <w:p>
      <w:pPr>
        <w:pStyle w:val="ListParagraph"/>
        <w:numPr>
          <w:ilvl w:val="0"/>
          <w:numId w:val="2"/>
        </w:numPr>
        <w:spacing w:after="60"/>
      </w:pPr>
      <w:r>
        <w:t xml:space="preserve">Graph is used immediately for retrieval in the shadow mode period</w:t>
      </w:r>
    </w:p>
    <w:p/>
    <w:p>
      <w:pPr>
        <w:pStyle w:val="Heading1"/>
      </w:pPr>
      <w:r>
        <w:t xml:space="preserve">5. Phase 5 -- Shadow Mode</w:t>
      </w:r>
    </w:p>
    <w:p/>
    <w:p>
      <w:pPr>
        <w:pStyle w:val="Heading2"/>
      </w:pPr>
      <w:r>
        <w:t xml:space="preserve">5.1 Shadow Mode with Multimodal Invoices</w:t>
      </w:r>
    </w:p>
    <w:p>
      <w:r>
        <w:rPr>
          <w:rFonts w:ascii="Arial" w:cs="Arial" w:eastAsia="Arial" w:hAnsi="Arial"/>
          <w:sz w:val="20"/>
          <w:szCs w:val="20"/>
        </w:rPr>
        <w:t xml:space="preserve">During shadow mode, the system processes all new invoices -- including PDFs and images -- through the full pipeline but does not post to the ERP. This is the first opportunity to measure multimodal extraction quality in production.</w:t>
      </w:r>
    </w:p>
    <w:p>
      <w:pPr>
        <w:pStyle w:val="ListParagraph"/>
        <w:numPr>
          <w:ilvl w:val="0"/>
          <w:numId w:val="2"/>
        </w:numPr>
        <w:spacing w:after="60"/>
      </w:pPr>
      <w:r>
        <w:t xml:space="preserve">New PDF/image invoices extracted via the multimodal pipeline in real time</w:t>
      </w:r>
    </w:p>
    <w:p>
      <w:pPr>
        <w:pStyle w:val="ListParagraph"/>
        <w:numPr>
          <w:ilvl w:val="0"/>
          <w:numId w:val="2"/>
        </w:numPr>
        <w:spacing w:after="60"/>
      </w:pPr>
      <w:r>
        <w:t xml:space="preserve">Extraction confidence logged for every invoice -- weekly report includes extraction success rate</w:t>
      </w:r>
    </w:p>
    <w:p>
      <w:pPr>
        <w:pStyle w:val="ListParagraph"/>
        <w:numPr>
          <w:ilvl w:val="0"/>
          <w:numId w:val="2"/>
        </w:numPr>
        <w:spacing w:after="60"/>
      </w:pPr>
      <w:r>
        <w:t xml:space="preserve">Multimodal invoices with low extraction confidence flagged in shadow mode report -- identifies extraction issues before go-live</w:t>
      </w:r>
    </w:p>
    <w:p>
      <w:pPr>
        <w:pStyle w:val="ListParagraph"/>
        <w:numPr>
          <w:ilvl w:val="0"/>
          <w:numId w:val="2"/>
        </w:numPr>
        <w:spacing w:after="60"/>
      </w:pPr>
      <w:r>
        <w:t xml:space="preserve">ColPali retrieval tested in shadow mode -- Context Precision compared against text-only retrieval</w:t>
      </w:r>
    </w:p>
    <w:p/>
    <w:p>
      <w:pPr>
        <w:pStyle w:val="Heading2"/>
      </w:pPr>
      <w:r>
        <w:t xml:space="preserve">5.2 Weekly Shadow Mode Report</w:t>
      </w:r>
    </w:p>
    <w:p>
      <w:pPr>
        <w:pStyle w:val="ListParagraph"/>
        <w:numPr>
          <w:ilvl w:val="0"/>
          <w:numId w:val="2"/>
        </w:numPr>
        <w:spacing w:after="60"/>
      </w:pPr>
      <w:r>
        <w:t xml:space="preserve">Automation rate: what percentage would have auto-posted?</w:t>
      </w:r>
    </w:p>
    <w:p>
      <w:pPr>
        <w:pStyle w:val="ListParagraph"/>
        <w:numPr>
          <w:ilvl w:val="0"/>
          <w:numId w:val="2"/>
        </w:numPr>
        <w:spacing w:after="60"/>
      </w:pPr>
      <w:r>
        <w:t xml:space="preserve">Accuracy: predicted GL vs clerk actual coding</w:t>
      </w:r>
    </w:p>
    <w:p>
      <w:pPr>
        <w:pStyle w:val="ListParagraph"/>
        <w:numPr>
          <w:ilvl w:val="0"/>
          <w:numId w:val="2"/>
        </w:numPr>
        <w:spacing w:after="60"/>
      </w:pPr>
      <w:r>
        <w:t xml:space="preserve">False positive rate: what percentage of would-be auto-posts were wrong?</w:t>
      </w:r>
    </w:p>
    <w:p>
      <w:pPr>
        <w:pStyle w:val="ListParagraph"/>
        <w:numPr>
          <w:ilvl w:val="0"/>
          <w:numId w:val="2"/>
        </w:numPr>
        <w:spacing w:after="60"/>
      </w:pPr>
      <w:r>
        <w:t xml:space="preserve">Multimodal extraction success rate: percentage of PDFs/images extracted correctly</w:t>
      </w:r>
    </w:p>
    <w:p>
      <w:pPr>
        <w:pStyle w:val="ListParagraph"/>
        <w:numPr>
          <w:ilvl w:val="0"/>
          <w:numId w:val="2"/>
        </w:numPr>
        <w:spacing w:after="60"/>
      </w:pPr>
      <w:r>
        <w:t xml:space="preserve">GraphRAG contribution: what percentage of predictions used graph-retrieved evidence?</w:t>
      </w:r>
    </w:p>
    <w:p>
      <w:pPr>
        <w:pStyle w:val="ListParagraph"/>
        <w:numPr>
          <w:ilvl w:val="0"/>
          <w:numId w:val="2"/>
        </w:numPr>
        <w:spacing w:after="60"/>
      </w:pPr>
      <w:r>
        <w:t xml:space="preserve">Cold-start vendors: which vendors had no corpus history?</w:t>
      </w:r>
    </w:p>
    <w:p>
      <w:pPr>
        <w:pStyle w:val="ListParagraph"/>
        <w:numPr>
          <w:ilvl w:val="0"/>
          <w:numId w:val="2"/>
        </w:numPr>
        <w:spacing w:after="60"/>
      </w:pPr>
      <w:r>
        <w:t xml:space="preserve">Write-back progress: corpus growth from shadow confirmations</w:t>
      </w:r>
    </w:p>
    <w:p/>
    <w:p>
      <w:pPr>
        <w:pStyle w:val="Heading2"/>
      </w:pPr>
      <w:r>
        <w:t xml:space="preserve">5.3 Go/No-Go Criteria</w:t>
      </w:r>
    </w:p>
    <w:p>
      <w:pPr>
        <w:pStyle w:val="ListParagraph"/>
        <w:numPr>
          <w:ilvl w:val="0"/>
          <w:numId w:val="2"/>
        </w:numPr>
        <w:spacing w:after="60"/>
      </w:pPr>
      <w:r>
        <w:t xml:space="preserve">Shadow accuracy &gt;95% -- system must be more accurate than the target threshold</w:t>
      </w:r>
    </w:p>
    <w:p>
      <w:pPr>
        <w:pStyle w:val="ListParagraph"/>
        <w:numPr>
          <w:ilvl w:val="0"/>
          <w:numId w:val="2"/>
        </w:numPr>
        <w:spacing w:after="60"/>
      </w:pPr>
      <w:r>
        <w:t xml:space="preserve">Shadow false positive rate &lt;1%</w:t>
      </w:r>
    </w:p>
    <w:p>
      <w:pPr>
        <w:pStyle w:val="ListParagraph"/>
        <w:numPr>
          <w:ilvl w:val="0"/>
          <w:numId w:val="2"/>
        </w:numPr>
        <w:spacing w:after="60"/>
      </w:pPr>
      <w:r>
        <w:t xml:space="preserve">Multimodal extraction success rate &gt;90% -- if below, investigate before go-live</w:t>
      </w:r>
    </w:p>
    <w:p>
      <w:pPr>
        <w:pStyle w:val="ListParagraph"/>
        <w:numPr>
          <w:ilvl w:val="0"/>
          <w:numId w:val="2"/>
        </w:numPr>
        <w:spacing w:after="60"/>
      </w:pPr>
      <w:r>
        <w:t xml:space="preserve">Top 20 vendors all have &gt;20 corpus points</w:t>
      </w:r>
    </w:p>
    <w:p>
      <w:pPr>
        <w:pStyle w:val="ListParagraph"/>
        <w:numPr>
          <w:ilvl w:val="0"/>
          <w:numId w:val="2"/>
        </w:numPr>
        <w:spacing w:after="60"/>
      </w:pPr>
      <w:r>
        <w:t xml:space="preserve">Client AP manager sign-off</w:t>
      </w:r>
    </w:p>
    <w:p/>
    <w:p>
      <w:pPr>
        <w:pStyle w:val="Heading1"/>
      </w:pPr>
      <w:r>
        <w:t xml:space="preserve">6. Phase 6 -- Go-Live Report</w:t>
      </w:r>
    </w:p>
    <w:p>
      <w:r>
        <w:rPr>
          <w:rFonts w:ascii="Arial" w:cs="Arial" w:eastAsia="Arial" w:hAnsi="Arial"/>
          <w:sz w:val="20"/>
          <w:szCs w:val="20"/>
        </w:rPr>
        <w:t xml:space="preserve">The go-live report provides the client with everything they need before switching to live mode.</w:t>
      </w:r>
    </w:p>
    <w:p/>
    <w:p>
      <w:pPr>
        <w:pStyle w:val="ListParagraph"/>
        <w:numPr>
          <w:ilvl w:val="0"/>
          <w:numId w:val="2"/>
        </w:numPr>
        <w:spacing w:after="60"/>
      </w:pPr>
      <w:r>
        <w:t xml:space="preserve">Projected automation rate by vendor (top 20)</w:t>
      </w:r>
    </w:p>
    <w:p>
      <w:pPr>
        <w:pStyle w:val="ListParagraph"/>
        <w:numPr>
          <w:ilvl w:val="0"/>
          <w:numId w:val="2"/>
        </w:numPr>
        <w:spacing w:after="60"/>
      </w:pPr>
      <w:r>
        <w:t xml:space="preserve">Projected overall automation rate -- weighted by volume</w:t>
      </w:r>
    </w:p>
    <w:p>
      <w:pPr>
        <w:pStyle w:val="ListParagraph"/>
        <w:numPr>
          <w:ilvl w:val="0"/>
          <w:numId w:val="2"/>
        </w:numPr>
        <w:spacing w:after="60"/>
      </w:pPr>
      <w:r>
        <w:t xml:space="preserve">Projected accuracy and false positive rate</w:t>
      </w:r>
    </w:p>
    <w:p>
      <w:pPr>
        <w:pStyle w:val="ListParagraph"/>
        <w:numPr>
          <w:ilvl w:val="0"/>
          <w:numId w:val="2"/>
        </w:numPr>
        <w:spacing w:after="60"/>
      </w:pPr>
      <w:r>
        <w:t xml:space="preserve">Corpus density by vendor -- confidence heat map</w:t>
      </w:r>
    </w:p>
    <w:p>
      <w:pPr>
        <w:pStyle w:val="ListParagraph"/>
        <w:numPr>
          <w:ilvl w:val="0"/>
          <w:numId w:val="2"/>
        </w:numPr>
        <w:spacing w:after="60"/>
      </w:pPr>
      <w:r>
        <w:t xml:space="preserve">Multimodal extraction quality report -- PDF/image success rate</w:t>
      </w:r>
    </w:p>
    <w:p>
      <w:pPr>
        <w:pStyle w:val="ListParagraph"/>
        <w:numPr>
          <w:ilvl w:val="0"/>
          <w:numId w:val="2"/>
        </w:numPr>
        <w:spacing w:after="60"/>
      </w:pPr>
      <w:r>
        <w:t xml:space="preserve">GraphRAG coverage -- percentage of vendors represented in the knowledge graph</w:t>
      </w:r>
    </w:p>
    <w:p>
      <w:pPr>
        <w:pStyle w:val="ListParagraph"/>
        <w:numPr>
          <w:ilvl w:val="0"/>
          <w:numId w:val="2"/>
        </w:numPr>
        <w:spacing w:after="60"/>
      </w:pPr>
      <w:r>
        <w:t xml:space="preserve">Recommended confidence threshold</w:t>
      </w:r>
    </w:p>
    <w:p>
      <w:pPr>
        <w:pStyle w:val="ListParagraph"/>
        <w:numPr>
          <w:ilvl w:val="0"/>
          <w:numId w:val="2"/>
        </w:numPr>
        <w:spacing w:after="60"/>
      </w:pPr>
      <w:r>
        <w:t xml:space="preserve">Cold-start vendors -- list of vendors with &lt;10 corpus points</w:t>
      </w:r>
    </w:p>
    <w:p>
      <w:pPr>
        <w:pStyle w:val="ListParagraph"/>
        <w:numPr>
          <w:ilvl w:val="0"/>
          <w:numId w:val="2"/>
        </w:numPr>
        <w:spacing w:after="60"/>
      </w:pPr>
      <w:r>
        <w:t xml:space="preserve">Projected monthly saving vs current manual process</w:t>
      </w:r>
    </w:p>
    <w:p>
      <w:pPr>
        <w:pStyle w:val="ListParagraph"/>
        <w:numPr>
          <w:ilvl w:val="0"/>
          <w:numId w:val="2"/>
        </w:numPr>
        <w:spacing w:after="60"/>
      </w:pPr>
      <w:r>
        <w:t xml:space="preserve">Model card -- full disclosure of all AI models used (see Phase 1)</w:t>
      </w:r>
    </w:p>
    <w:p>
      <w:pPr>
        <w:pStyle w:val="ListParagraph"/>
        <w:numPr>
          <w:ilvl w:val="0"/>
          <w:numId w:val="2"/>
        </w:numPr>
        <w:spacing w:after="60"/>
      </w:pPr>
      <w:r>
        <w:t xml:space="preserve">AI Transparency Disclosure -- final version for client records</w:t>
      </w:r>
    </w:p>
    <w:p>
      <w:pPr>
        <w:pStyle w:val="ListParagraph"/>
        <w:numPr>
          <w:ilvl w:val="0"/>
          <w:numId w:val="2"/>
        </w:numPr>
        <w:spacing w:after="60"/>
      </w:pPr>
      <w:r>
        <w:t xml:space="preserve">Recommended go-live date</w:t>
      </w:r>
    </w:p>
    <w:p/>
    <w:p>
      <w:pPr>
        <w:pStyle w:val="Heading1"/>
      </w:pPr>
      <w:r>
        <w:t xml:space="preserve">7. Phase 7 -- Go-Live</w:t>
      </w:r>
    </w:p>
    <w:p/>
    <w:p>
      <w:pPr>
        <w:pStyle w:val="Heading2"/>
      </w:pPr>
      <w:r>
        <w:t xml:space="preserve">7.1 Technical Go-Live</w:t>
      </w:r>
    </w:p>
    <w:p>
      <w:pPr>
        <w:pStyle w:val="ListParagraph"/>
        <w:numPr>
          <w:ilvl w:val="0"/>
          <w:numId w:val="2"/>
        </w:numPr>
        <w:spacing w:after="60"/>
      </w:pPr>
      <w:r>
        <w:t xml:space="preserve">Switch tenant from shadow mode to live mode: UPDATE tenants SET is_shadow_mode = false</w:t>
      </w:r>
    </w:p>
    <w:p>
      <w:pPr>
        <w:pStyle w:val="ListParagraph"/>
        <w:numPr>
          <w:ilvl w:val="0"/>
          <w:numId w:val="2"/>
        </w:numPr>
        <w:spacing w:after="60"/>
      </w:pPr>
      <w:r>
        <w:t xml:space="preserve">Confirm ERP connector is live and posting to production ERP</w:t>
      </w:r>
    </w:p>
    <w:p>
      <w:pPr>
        <w:pStyle w:val="ListParagraph"/>
        <w:numPr>
          <w:ilvl w:val="0"/>
          <w:numId w:val="2"/>
        </w:numPr>
        <w:spacing w:after="60"/>
      </w:pPr>
      <w:r>
        <w:t xml:space="preserve">Run 10-invoice test batch -- verify postings appear in ERP within 60 seconds</w:t>
      </w:r>
    </w:p>
    <w:p>
      <w:pPr>
        <w:pStyle w:val="ListParagraph"/>
        <w:numPr>
          <w:ilvl w:val="0"/>
          <w:numId w:val="2"/>
        </w:numPr>
        <w:spacing w:after="60"/>
      </w:pPr>
      <w:r>
        <w:t xml:space="preserve">Enable PagerDuty alerting for this tenant</w:t>
      </w:r>
    </w:p>
    <w:p>
      <w:pPr>
        <w:pStyle w:val="ListParagraph"/>
        <w:numPr>
          <w:ilvl w:val="0"/>
          <w:numId w:val="2"/>
        </w:numPr>
        <w:spacing w:after="60"/>
      </w:pPr>
      <w:r>
        <w:t xml:space="preserve">Confirm Langfuse traces and OpenTelemetry spans flowing</w:t>
      </w:r>
    </w:p>
    <w:p>
      <w:pPr>
        <w:pStyle w:val="ListParagraph"/>
        <w:numPr>
          <w:ilvl w:val="0"/>
          <w:numId w:val="2"/>
        </w:numPr>
        <w:spacing w:after="60"/>
      </w:pPr>
      <w:r>
        <w:t xml:space="preserve">Confirm MCP server is accessible (if tenant using Claude Desktop integration)</w:t>
      </w:r>
    </w:p>
    <w:p/>
    <w:p>
      <w:pPr>
        <w:pStyle w:val="Heading2"/>
      </w:pPr>
      <w:r>
        <w:t xml:space="preserve">7.2 AI Act Transparency Disclosure to Clerks</w:t>
      </w:r>
    </w:p>
    <w:p>
      <w:r>
        <w:rPr>
          <w:rFonts w:ascii="Arial" w:cs="Arial" w:eastAsia="Arial" w:hAnsi="Arial"/>
          <w:sz w:val="20"/>
          <w:szCs w:val="20"/>
        </w:rPr>
        <w:t xml:space="preserve">Under the EU AI Act, users who interact with AI systems must be informed that they are doing so. This disclosure must be presented to AP clerks at first login after go-live.</w:t>
      </w:r>
    </w:p>
    <w:p>
      <w:pPr>
        <w:pStyle w:val="ListParagraph"/>
        <w:numPr>
          <w:ilvl w:val="0"/>
          <w:numId w:val="2"/>
        </w:numPr>
        <w:spacing w:after="60"/>
      </w:pPr>
      <w:r>
        <w:t xml:space="preserve">On-boarding modal at first login: "This AP system uses AI to predict GL codes. Predictions are based on your organisation's confirmed invoice history. You remain responsible for confirming or correcting each prediction."</w:t>
      </w:r>
    </w:p>
    <w:p>
      <w:pPr>
        <w:pStyle w:val="ListParagraph"/>
        <w:numPr>
          <w:ilvl w:val="0"/>
          <w:numId w:val="2"/>
        </w:numPr>
        <w:spacing w:after="60"/>
      </w:pPr>
      <w:r>
        <w:t xml:space="preserve">Disclosure stored in audit log: clerk_id, disclosure_acknowledged_at, disclosure_version</w:t>
      </w:r>
    </w:p>
    <w:p>
      <w:pPr>
        <w:pStyle w:val="ListParagraph"/>
        <w:numPr>
          <w:ilvl w:val="0"/>
          <w:numId w:val="2"/>
        </w:numPr>
        <w:spacing w:after="60"/>
      </w:pPr>
      <w:r>
        <w:t xml:space="preserve">Disclosure refreshed: whenever the AI system is materially updated (new model, new retrieval approach)</w:t>
      </w:r>
    </w:p>
    <w:p>
      <w:pPr>
        <w:pStyle w:val="ListParagraph"/>
        <w:numPr>
          <w:ilvl w:val="0"/>
          <w:numId w:val="2"/>
        </w:numPr>
        <w:spacing w:after="60"/>
      </w:pPr>
      <w:r>
        <w:t xml:space="preserve">Disclosure text agreed with client legal team in Phase 1</w:t>
      </w:r>
    </w:p>
    <w:p/>
    <w:p>
      <w:pPr>
        <w:pStyle w:val="Heading2"/>
      </w:pPr>
      <w:r>
        <w:t xml:space="preserve">7.3 AP Clerk Training</w:t>
      </w:r>
    </w:p>
    <w:p>
      <w:pPr>
        <w:pStyle w:val="ListParagraph"/>
        <w:numPr>
          <w:ilvl w:val="0"/>
          <w:numId w:val="2"/>
        </w:numPr>
        <w:spacing w:after="60"/>
      </w:pPr>
      <w:r>
        <w:t xml:space="preserve">What the system does -- plain English, no jargon</w:t>
      </w:r>
    </w:p>
    <w:p>
      <w:pPr>
        <w:pStyle w:val="ListParagraph"/>
        <w:numPr>
          <w:ilvl w:val="0"/>
          <w:numId w:val="2"/>
        </w:numPr>
        <w:spacing w:after="60"/>
      </w:pPr>
      <w:r>
        <w:t xml:space="preserve">How to read the review queue -- invoice card, confidence bar, routing badge, multimodal indicator</w:t>
      </w:r>
    </w:p>
    <w:p>
      <w:pPr>
        <w:pStyle w:val="ListParagraph"/>
        <w:numPr>
          <w:ilvl w:val="0"/>
          <w:numId w:val="2"/>
        </w:numPr>
        <w:spacing w:after="60"/>
      </w:pPr>
      <w:r>
        <w:t xml:space="preserve">How to read the streaming explanation -- what citations mean, how to verify evidence</w:t>
      </w:r>
    </w:p>
    <w:p>
      <w:pPr>
        <w:pStyle w:val="ListParagraph"/>
        <w:numPr>
          <w:ilvl w:val="0"/>
          <w:numId w:val="2"/>
        </w:numPr>
        <w:spacing w:after="60"/>
      </w:pPr>
      <w:r>
        <w:t xml:space="preserve">How to confirm, override, and escalate</w:t>
      </w:r>
    </w:p>
    <w:p>
      <w:pPr>
        <w:pStyle w:val="ListParagraph"/>
        <w:numPr>
          <w:ilvl w:val="0"/>
          <w:numId w:val="2"/>
        </w:numPr>
        <w:spacing w:after="60"/>
      </w:pPr>
      <w:r>
        <w:t xml:space="preserve">How to use Ask AP -- example queries, A2A agent interactions</w:t>
      </w:r>
    </w:p>
    <w:p>
      <w:pPr>
        <w:pStyle w:val="ListParagraph"/>
        <w:numPr>
          <w:ilvl w:val="0"/>
          <w:numId w:val="2"/>
        </w:numPr>
        <w:spacing w:after="60"/>
      </w:pPr>
      <w:r>
        <w:t xml:space="preserve">What the system cannot do -- hard limits, cold-start vendors, high-value invoices always reviewed</w:t>
      </w:r>
    </w:p>
    <w:p>
      <w:pPr>
        <w:pStyle w:val="ListParagraph"/>
        <w:numPr>
          <w:ilvl w:val="0"/>
          <w:numId w:val="2"/>
        </w:numPr>
        <w:spacing w:after="60"/>
      </w:pPr>
      <w:r>
        <w:t xml:space="preserve">How to flag a suspected miscoded corpus point</w:t>
      </w:r>
    </w:p>
    <w:p>
      <w:pPr>
        <w:pStyle w:val="ListParagraph"/>
        <w:numPr>
          <w:ilvl w:val="0"/>
          <w:numId w:val="2"/>
        </w:numPr>
        <w:spacing w:after="60"/>
      </w:pPr>
      <w:r>
        <w:t xml:space="preserve">AI Act disclosure -- what the system is, what your responsibilities are</w:t>
      </w:r>
    </w:p>
    <w:p/>
    <w:p>
      <w:pPr>
        <w:pStyle w:val="Heading1"/>
      </w:pPr>
      <w:r>
        <w:t xml:space="preserve">8. Phase 8 -- Hypercare</w:t>
      </w:r>
    </w:p>
    <w:p>
      <w:pPr>
        <w:pStyle w:val="ListParagraph"/>
        <w:numPr>
          <w:ilvl w:val="0"/>
          <w:numId w:val="2"/>
        </w:numPr>
        <w:spacing w:after="60"/>
      </w:pPr>
      <w:r>
        <w:t xml:space="preserve">Daily check-in call -- first week</w:t>
      </w:r>
    </w:p>
    <w:p>
      <w:pPr>
        <w:pStyle w:val="ListParagraph"/>
        <w:numPr>
          <w:ilvl w:val="0"/>
          <w:numId w:val="2"/>
        </w:numPr>
        <w:spacing w:after="60"/>
      </w:pPr>
      <w:r>
        <w:t xml:space="preserve">Every-other-day check-in -- second week</w:t>
      </w:r>
    </w:p>
    <w:p>
      <w:pPr>
        <w:pStyle w:val="ListParagraph"/>
        <w:numPr>
          <w:ilvl w:val="0"/>
          <w:numId w:val="2"/>
        </w:numPr>
        <w:spacing w:after="60"/>
      </w:pPr>
      <w:r>
        <w:t xml:space="preserve">FCS monitors Langfuse dashboard and OpenTelemetry traces daily</w:t>
      </w:r>
    </w:p>
    <w:p>
      <w:pPr>
        <w:pStyle w:val="ListParagraph"/>
        <w:numPr>
          <w:ilvl w:val="0"/>
          <w:numId w:val="2"/>
        </w:numPr>
        <w:spacing w:after="60"/>
      </w:pPr>
      <w:r>
        <w:t xml:space="preserve">Any false positive investigated same day -- root cause documented</w:t>
      </w:r>
    </w:p>
    <w:p>
      <w:pPr>
        <w:pStyle w:val="ListParagraph"/>
        <w:numPr>
          <w:ilvl w:val="0"/>
          <w:numId w:val="2"/>
        </w:numPr>
        <w:spacing w:after="60"/>
      </w:pPr>
      <w:r>
        <w:t xml:space="preserve">Multimodal extraction failures monitored -- extraction confidence dashboard reviewed daily</w:t>
      </w:r>
    </w:p>
    <w:p>
      <w:pPr>
        <w:pStyle w:val="ListParagraph"/>
        <w:numPr>
          <w:ilvl w:val="0"/>
          <w:numId w:val="2"/>
        </w:numPr>
        <w:spacing w:after="60"/>
      </w:pPr>
      <w:r>
        <w:t xml:space="preserve">GraphRAG contribution monitored -- any vendor not appearing in graph flagged</w:t>
      </w:r>
    </w:p>
    <w:p>
      <w:pPr>
        <w:pStyle w:val="ListParagraph"/>
        <w:numPr>
          <w:ilvl w:val="0"/>
          <w:numId w:val="2"/>
        </w:numPr>
        <w:spacing w:after="60"/>
      </w:pPr>
      <w:r>
        <w:t xml:space="preserve">Hypercare exit report: 2-week results vs shadow mode projections</w:t>
      </w:r>
    </w:p>
    <w:p>
      <w:pPr>
        <w:pStyle w:val="ListParagraph"/>
        <w:numPr>
          <w:ilvl w:val="0"/>
          <w:numId w:val="2"/>
        </w:numPr>
        <w:spacing w:after="60"/>
      </w:pPr>
      <w:r>
        <w:t xml:space="preserve">Ongoing support SLA: P1 &lt;1h, P2 &lt;4h, P3 next business day</w:t>
      </w:r>
    </w:p>
    <w:p/>
    <w:p>
      <w:pPr>
        <w:pStyle w:val="Heading1"/>
      </w:pPr>
      <w:r>
        <w:t xml:space="preserve">9. Steady State</w:t>
      </w:r>
    </w:p>
    <w:p>
      <w:pPr>
        <w:pStyle w:val="ListParagraph"/>
        <w:numPr>
          <w:ilvl w:val="0"/>
          <w:numId w:val="2"/>
        </w:numPr>
        <w:spacing w:after="60"/>
      </w:pPr>
      <w:r>
        <w:t xml:space="preserve">Monthly performance review: automation rate trend, accuracy, corpus growth, multimodal extraction success</w:t>
      </w:r>
    </w:p>
    <w:p>
      <w:pPr>
        <w:pStyle w:val="ListParagraph"/>
        <w:numPr>
          <w:ilvl w:val="0"/>
          <w:numId w:val="2"/>
        </w:numPr>
        <w:spacing w:after="60"/>
      </w:pPr>
      <w:r>
        <w:t xml:space="preserve">Quarterly corpus health check: age distribution, outlier review, vendor density, graph accuracy</w:t>
      </w:r>
    </w:p>
    <w:p>
      <w:pPr>
        <w:pStyle w:val="ListParagraph"/>
        <w:numPr>
          <w:ilvl w:val="0"/>
          <w:numId w:val="2"/>
        </w:numPr>
        <w:spacing w:after="60"/>
      </w:pPr>
      <w:r>
        <w:t xml:space="preserve">Annual chart of accounts sync: catch GL code changes, deprecations</w:t>
      </w:r>
    </w:p>
    <w:p>
      <w:pPr>
        <w:pStyle w:val="ListParagraph"/>
        <w:numPr>
          <w:ilvl w:val="0"/>
          <w:numId w:val="2"/>
        </w:numPr>
        <w:spacing w:after="60"/>
      </w:pPr>
      <w:r>
        <w:t xml:space="preserve">Annual model card review: confirm model versions still current, update if changed</w:t>
      </w:r>
    </w:p>
    <w:p>
      <w:pPr>
        <w:pStyle w:val="ListParagraph"/>
        <w:numPr>
          <w:ilvl w:val="0"/>
          <w:numId w:val="2"/>
        </w:numPr>
        <w:spacing w:after="60"/>
      </w:pPr>
      <w:r>
        <w:t xml:space="preserve">Annual AI Act disclosure review: confirm disclosure text still accurate</w:t>
      </w:r>
    </w:p>
    <w:p>
      <w:pPr>
        <w:pStyle w:val="ListParagraph"/>
        <w:numPr>
          <w:ilvl w:val="0"/>
          <w:numId w:val="2"/>
        </w:numPr>
        <w:spacing w:after="60"/>
      </w:pPr>
      <w:r>
        <w:t xml:space="preserve">GDPR erasure requests: handled within 30 days via erasure pipeline</w:t>
      </w:r>
    </w:p>
    <w:p/>
    <w:p>
      <w:r>
        <w:rPr>
          <w:rFonts w:ascii="Arial" w:cs="Arial" w:eastAsia="Arial" w:hAnsi="Arial"/>
          <w:color w:val="6B7280"/>
          <w:sz w:val="18"/>
          <w:szCs w:val="18"/>
        </w:rPr>
        <w:t xml:space="preserve">Contact: miles.waite@akkoda.com | github.com/Milesy1/ap-automation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2026-10-15T20:04:40.382Z</dcterms:created>
  <dcterms:modified xsi:type="dcterms:W3CDTF">2026-10-15T20:04:40.382Z</dcterms:modified>
</cp:coreProperties>
</file>

<file path=docProps/custom.xml><?xml version="1.0" encoding="utf-8"?>
<Properties xmlns="http://schemas.openxmlformats.org/officeDocument/2006/custom-properties" xmlns:vt="http://schemas.openxmlformats.org/officeDocument/2006/docPropsVTypes"/>
</file>