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AP Automation -- Data Architecture</w:t>
      </w:r>
    </w:p>
    <w:p>
      <w:r>
        <w:rPr>
          <w:rFonts w:ascii="Arial" w:cs="Arial" w:eastAsia="Arial" w:hAnsi="Arial"/>
          <w:sz w:val="20"/>
          <w:szCs w:val="20"/>
        </w:rPr>
        <w:t xml:space="preserve">Comprehensive data architecture specification covering Postgres schema, Qdrant vector store, Redis caching, S3 storage, GraphRAG graph store, multimodal vector storage, embedding model version tracking, GDPR right to erasure pipeline, indexing strategy, partitioning, migration, backup, and data retention.</w:t>
      </w:r>
    </w:p>
    <w:p>
      <w:r>
        <w:rPr>
          <w:rFonts w:ascii="Arial" w:cs="Arial" w:eastAsia="Arial" w:hAnsi="Arial"/>
          <w:sz w:val="20"/>
          <w:szCs w:val="20"/>
        </w:rPr>
        <w:t xml:space="preserve">October 2026 | Form Consulting Services | Akkoda</w:t>
      </w:r>
    </w:p>
    <w:p/>
    <w:p>
      <w:pPr>
        <w:pStyle w:val="Heading1"/>
      </w:pPr>
      <w:r>
        <w:t xml:space="preserve">1. Data Store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2000"/>
        <w:gridCol w:w="1860"/>
      </w:tblGrid>
      <w:tr>
        <w:trPr>
          <w:tblHeader/>
        </w:trPr>
        <w:tc>
          <w:tcPr>
            <w:tcW w:type="dxa" w:w="2000"/>
            <w:shd w:color="E2E8F0" w:val="clear"/>
          </w:tcPr>
          <w:p>
            <w:r>
              <w:rPr>
                <w:rFonts w:ascii="Arial" w:cs="Arial" w:eastAsia="Arial" w:hAnsi="Arial"/>
                <w:b/>
                <w:bCs/>
                <w:sz w:val="18"/>
                <w:szCs w:val="18"/>
              </w:rPr>
              <w:t xml:space="preserve">Store</w:t>
            </w:r>
          </w:p>
        </w:tc>
        <w:tc>
          <w:tcPr>
            <w:tcW w:type="dxa" w:w="3500"/>
            <w:shd w:color="E2E8F0" w:val="clear"/>
          </w:tcPr>
          <w:p>
            <w:r>
              <w:rPr>
                <w:rFonts w:ascii="Arial" w:cs="Arial" w:eastAsia="Arial" w:hAnsi="Arial"/>
                <w:b/>
                <w:bCs/>
                <w:sz w:val="18"/>
                <w:szCs w:val="18"/>
              </w:rPr>
              <w:t xml:space="preserve">Purpose</w:t>
            </w:r>
          </w:p>
        </w:tc>
        <w:tc>
          <w:tcPr>
            <w:tcW w:type="dxa" w:w="2000"/>
            <w:shd w:color="E2E8F0" w:val="clear"/>
          </w:tcPr>
          <w:p>
            <w:r>
              <w:rPr>
                <w:rFonts w:ascii="Arial" w:cs="Arial" w:eastAsia="Arial" w:hAnsi="Arial"/>
                <w:b/>
                <w:bCs/>
                <w:sz w:val="18"/>
                <w:szCs w:val="18"/>
              </w:rPr>
              <w:t xml:space="preserve">Technology</w:t>
            </w:r>
          </w:p>
        </w:tc>
        <w:tc>
          <w:tcPr>
            <w:tcW w:type="dxa" w:w="1860"/>
            <w:shd w:color="E2E8F0" w:val="clear"/>
          </w:tcPr>
          <w:p>
            <w:r>
              <w:rPr>
                <w:rFonts w:ascii="Arial" w:cs="Arial" w:eastAsia="Arial" w:hAnsi="Arial"/>
                <w:b/>
                <w:bCs/>
                <w:sz w:val="18"/>
                <w:szCs w:val="18"/>
              </w:rPr>
              <w:t xml:space="preserve">Scope</w:t>
            </w:r>
          </w:p>
        </w:tc>
      </w:tr>
      <w:tr>
        <w:tc>
          <w:p>
            <w:r>
              <w:rPr>
                <w:rFonts w:ascii="Arial" w:cs="Arial" w:eastAsia="Arial" w:hAnsi="Arial"/>
                <w:b w:val="false"/>
                <w:bCs w:val="false"/>
                <w:sz w:val="18"/>
                <w:szCs w:val="18"/>
              </w:rPr>
              <w:t xml:space="preserve">Primary DB</w:t>
            </w:r>
          </w:p>
        </w:tc>
        <w:tc>
          <w:p>
            <w:r>
              <w:rPr>
                <w:rFonts w:ascii="Arial" w:cs="Arial" w:eastAsia="Arial" w:hAnsi="Arial"/>
                <w:b w:val="false"/>
                <w:bCs w:val="false"/>
                <w:sz w:val="18"/>
                <w:szCs w:val="18"/>
              </w:rPr>
              <w:t xml:space="preserve">Invoice records, audit log, tenant config, ERP postings, rules</w:t>
            </w:r>
          </w:p>
        </w:tc>
        <w:tc>
          <w:p>
            <w:r>
              <w:rPr>
                <w:rFonts w:ascii="Arial" w:cs="Arial" w:eastAsia="Arial" w:hAnsi="Arial"/>
                <w:b w:val="false"/>
                <w:bCs w:val="false"/>
                <w:sz w:val="18"/>
                <w:szCs w:val="18"/>
              </w:rPr>
              <w:t xml:space="preserve">Postgres 16 (RDS)</w:t>
            </w:r>
          </w:p>
        </w:tc>
        <w:tc>
          <w:p>
            <w:r>
              <w:rPr>
                <w:rFonts w:ascii="Arial" w:cs="Arial" w:eastAsia="Arial" w:hAnsi="Arial"/>
                <w:b w:val="false"/>
                <w:bCs w:val="false"/>
                <w:sz w:val="18"/>
                <w:szCs w:val="18"/>
              </w:rPr>
              <w:t xml:space="preserve">All tenants (RLS)</w:t>
            </w:r>
          </w:p>
        </w:tc>
      </w:tr>
      <w:tr>
        <w:tc>
          <w:p>
            <w:r>
              <w:rPr>
                <w:rFonts w:ascii="Arial" w:cs="Arial" w:eastAsia="Arial" w:hAnsi="Arial"/>
                <w:b w:val="false"/>
                <w:bCs w:val="false"/>
                <w:sz w:val="18"/>
                <w:szCs w:val="18"/>
              </w:rPr>
              <w:t xml:space="preserve">Vector store</w:t>
            </w:r>
          </w:p>
        </w:tc>
        <w:tc>
          <w:p>
            <w:r>
              <w:rPr>
                <w:rFonts w:ascii="Arial" w:cs="Arial" w:eastAsia="Arial" w:hAnsi="Arial"/>
                <w:b w:val="false"/>
                <w:bCs w:val="false"/>
                <w:sz w:val="18"/>
                <w:szCs w:val="18"/>
              </w:rPr>
              <w:t xml:space="preserve">Invoice corpus -- dense embeddings, sparse vectors, multi-vector (ColPali), metadata</w:t>
            </w:r>
          </w:p>
        </w:tc>
        <w:tc>
          <w:p>
            <w:r>
              <w:rPr>
                <w:rFonts w:ascii="Arial" w:cs="Arial" w:eastAsia="Arial" w:hAnsi="Arial"/>
                <w:b w:val="false"/>
                <w:bCs w:val="false"/>
                <w:sz w:val="18"/>
                <w:szCs w:val="18"/>
              </w:rPr>
              <w:t xml:space="preserve">Qdrant Cloud</w:t>
            </w:r>
          </w:p>
        </w:tc>
        <w:tc>
          <w:p>
            <w:r>
              <w:rPr>
                <w:rFonts w:ascii="Arial" w:cs="Arial" w:eastAsia="Arial" w:hAnsi="Arial"/>
                <w:b w:val="false"/>
                <w:bCs w:val="false"/>
                <w:sz w:val="18"/>
                <w:szCs w:val="18"/>
              </w:rPr>
              <w:t xml:space="preserve">Per-tenant collection</w:t>
            </w:r>
          </w:p>
        </w:tc>
      </w:tr>
      <w:tr>
        <w:tc>
          <w:p>
            <w:r>
              <w:rPr>
                <w:rFonts w:ascii="Arial" w:cs="Arial" w:eastAsia="Arial" w:hAnsi="Arial"/>
                <w:b w:val="false"/>
                <w:bCs w:val="false"/>
                <w:sz w:val="18"/>
                <w:szCs w:val="18"/>
              </w:rPr>
              <w:t xml:space="preserve">Graph store</w:t>
            </w:r>
          </w:p>
        </w:tc>
        <w:tc>
          <w:p>
            <w:r>
              <w:rPr>
                <w:rFonts w:ascii="Arial" w:cs="Arial" w:eastAsia="Arial" w:hAnsi="Arial"/>
                <w:b w:val="false"/>
                <w:bCs w:val="false"/>
                <w:sz w:val="18"/>
                <w:szCs w:val="18"/>
              </w:rPr>
              <w:t xml:space="preserve">Supplier knowledge graph for GraphRAG -- vendor relationships, site hierarchies, cost centre maps</w:t>
            </w:r>
          </w:p>
        </w:tc>
        <w:tc>
          <w:p>
            <w:r>
              <w:rPr>
                <w:rFonts w:ascii="Arial" w:cs="Arial" w:eastAsia="Arial" w:hAnsi="Arial"/>
                <w:b w:val="false"/>
                <w:bCs w:val="false"/>
                <w:sz w:val="18"/>
                <w:szCs w:val="18"/>
              </w:rPr>
              <w:t xml:space="preserve">Neo4j or NetworkX (embedded)</w:t>
            </w:r>
          </w:p>
        </w:tc>
        <w:tc>
          <w:p>
            <w:r>
              <w:rPr>
                <w:rFonts w:ascii="Arial" w:cs="Arial" w:eastAsia="Arial" w:hAnsi="Arial"/>
                <w:b w:val="false"/>
                <w:bCs w:val="false"/>
                <w:sz w:val="18"/>
                <w:szCs w:val="18"/>
              </w:rPr>
              <w:t xml:space="preserve">Per-tenant graph</w:t>
            </w:r>
          </w:p>
        </w:tc>
      </w:tr>
      <w:tr>
        <w:tc>
          <w:p>
            <w:r>
              <w:rPr>
                <w:rFonts w:ascii="Arial" w:cs="Arial" w:eastAsia="Arial" w:hAnsi="Arial"/>
                <w:b w:val="false"/>
                <w:bCs w:val="false"/>
                <w:sz w:val="18"/>
                <w:szCs w:val="18"/>
              </w:rPr>
              <w:t xml:space="preserve">Cache</w:t>
            </w:r>
          </w:p>
        </w:tc>
        <w:tc>
          <w:p>
            <w:r>
              <w:rPr>
                <w:rFonts w:ascii="Arial" w:cs="Arial" w:eastAsia="Arial" w:hAnsi="Arial"/>
                <w:b w:val="false"/>
                <w:bCs w:val="false"/>
                <w:sz w:val="18"/>
                <w:szCs w:val="18"/>
              </w:rPr>
              <w:t xml:space="preserve">Vendor resolution, embeddings, chart of accounts, metrics</w:t>
            </w:r>
          </w:p>
        </w:tc>
        <w:tc>
          <w:p>
            <w:r>
              <w:rPr>
                <w:rFonts w:ascii="Arial" w:cs="Arial" w:eastAsia="Arial" w:hAnsi="Arial"/>
                <w:b w:val="false"/>
                <w:bCs w:val="false"/>
                <w:sz w:val="18"/>
                <w:szCs w:val="18"/>
              </w:rPr>
              <w:t xml:space="preserve">Redis 7 (ElastiCache)</w:t>
            </w:r>
          </w:p>
        </w:tc>
        <w:tc>
          <w:p>
            <w:r>
              <w:rPr>
                <w:rFonts w:ascii="Arial" w:cs="Arial" w:eastAsia="Arial" w:hAnsi="Arial"/>
                <w:b w:val="false"/>
                <w:bCs w:val="false"/>
                <w:sz w:val="18"/>
                <w:szCs w:val="18"/>
              </w:rPr>
              <w:t xml:space="preserve">Per-tenant namespace</w:t>
            </w:r>
          </w:p>
        </w:tc>
      </w:tr>
      <w:tr>
        <w:tc>
          <w:p>
            <w:r>
              <w:rPr>
                <w:rFonts w:ascii="Arial" w:cs="Arial" w:eastAsia="Arial" w:hAnsi="Arial"/>
                <w:b w:val="false"/>
                <w:bCs w:val="false"/>
                <w:sz w:val="18"/>
                <w:szCs w:val="18"/>
              </w:rPr>
              <w:t xml:space="preserve">Object store</w:t>
            </w:r>
          </w:p>
        </w:tc>
        <w:tc>
          <w:p>
            <w:r>
              <w:rPr>
                <w:rFonts w:ascii="Arial" w:cs="Arial" w:eastAsia="Arial" w:hAnsi="Arial"/>
                <w:b w:val="false"/>
                <w:bCs w:val="false"/>
                <w:sz w:val="18"/>
                <w:szCs w:val="18"/>
              </w:rPr>
              <w:t xml:space="preserve">Audit log archives, batch exports, uploaded invoice files, invoice PDFs/images, SBOM artifacts</w:t>
            </w:r>
          </w:p>
        </w:tc>
        <w:tc>
          <w:p>
            <w:r>
              <w:rPr>
                <w:rFonts w:ascii="Arial" w:cs="Arial" w:eastAsia="Arial" w:hAnsi="Arial"/>
                <w:b w:val="false"/>
                <w:bCs w:val="false"/>
                <w:sz w:val="18"/>
                <w:szCs w:val="18"/>
              </w:rPr>
              <w:t xml:space="preserve">S3</w:t>
            </w:r>
          </w:p>
        </w:tc>
        <w:tc>
          <w:p>
            <w:r>
              <w:rPr>
                <w:rFonts w:ascii="Arial" w:cs="Arial" w:eastAsia="Arial" w:hAnsi="Arial"/>
                <w:b w:val="false"/>
                <w:bCs w:val="false"/>
                <w:sz w:val="18"/>
                <w:szCs w:val="18"/>
              </w:rPr>
              <w:t xml:space="preserve">Per-tenant prefix</w:t>
            </w:r>
          </w:p>
        </w:tc>
      </w:tr>
      <w:tr>
        <w:tc>
          <w:p>
            <w:r>
              <w:rPr>
                <w:rFonts w:ascii="Arial" w:cs="Arial" w:eastAsia="Arial" w:hAnsi="Arial"/>
                <w:b w:val="false"/>
                <w:bCs w:val="false"/>
                <w:sz w:val="18"/>
                <w:szCs w:val="18"/>
              </w:rPr>
              <w:t xml:space="preserve">Task queue</w:t>
            </w:r>
          </w:p>
        </w:tc>
        <w:tc>
          <w:p>
            <w:r>
              <w:rPr>
                <w:rFonts w:ascii="Arial" w:cs="Arial" w:eastAsia="Arial" w:hAnsi="Arial"/>
                <w:b w:val="false"/>
                <w:bCs w:val="false"/>
                <w:sz w:val="18"/>
                <w:szCs w:val="18"/>
              </w:rPr>
              <w:t xml:space="preserve">Async invoice processing, ERP posting, re-embedding jobs, erasure jobs</w:t>
            </w:r>
          </w:p>
        </w:tc>
        <w:tc>
          <w:p>
            <w:r>
              <w:rPr>
                <w:rFonts w:ascii="Arial" w:cs="Arial" w:eastAsia="Arial" w:hAnsi="Arial"/>
                <w:b w:val="false"/>
                <w:bCs w:val="false"/>
                <w:sz w:val="18"/>
                <w:szCs w:val="18"/>
              </w:rPr>
              <w:t xml:space="preserve">Redis (Celery backend)</w:t>
            </w:r>
          </w:p>
        </w:tc>
        <w:tc>
          <w:p>
            <w:r>
              <w:rPr>
                <w:rFonts w:ascii="Arial" w:cs="Arial" w:eastAsia="Arial" w:hAnsi="Arial"/>
                <w:b w:val="false"/>
                <w:bCs w:val="false"/>
                <w:sz w:val="18"/>
                <w:szCs w:val="18"/>
              </w:rPr>
              <w:t xml:space="preserve">Per-tenant queue</w:t>
            </w:r>
          </w:p>
        </w:tc>
      </w:tr>
      <w:tr>
        <w:tc>
          <w:p>
            <w:r>
              <w:rPr>
                <w:rFonts w:ascii="Arial" w:cs="Arial" w:eastAsia="Arial" w:hAnsi="Arial"/>
                <w:b w:val="false"/>
                <w:bCs w:val="false"/>
                <w:sz w:val="18"/>
                <w:szCs w:val="18"/>
              </w:rPr>
              <w:t xml:space="preserve">Idempotency store</w:t>
            </w:r>
          </w:p>
        </w:tc>
        <w:tc>
          <w:p>
            <w:r>
              <w:rPr>
                <w:rFonts w:ascii="Arial" w:cs="Arial" w:eastAsia="Arial" w:hAnsi="Arial"/>
                <w:b w:val="false"/>
                <w:bCs w:val="false"/>
                <w:sz w:val="18"/>
                <w:szCs w:val="18"/>
              </w:rPr>
              <w:t xml:space="preserve">Processed invoice ID tracking for duplicate prevention across connectors</w:t>
            </w:r>
          </w:p>
        </w:tc>
        <w:tc>
          <w:p>
            <w:r>
              <w:rPr>
                <w:rFonts w:ascii="Arial" w:cs="Arial" w:eastAsia="Arial" w:hAnsi="Arial"/>
                <w:b w:val="false"/>
                <w:bCs w:val="false"/>
                <w:sz w:val="18"/>
                <w:szCs w:val="18"/>
              </w:rPr>
              <w:t xml:space="preserve">Redis (TTL 48h)</w:t>
            </w:r>
          </w:p>
        </w:tc>
        <w:tc>
          <w:p>
            <w:r>
              <w:rPr>
                <w:rFonts w:ascii="Arial" w:cs="Arial" w:eastAsia="Arial" w:hAnsi="Arial"/>
                <w:b w:val="false"/>
                <w:bCs w:val="false"/>
                <w:sz w:val="18"/>
                <w:szCs w:val="18"/>
              </w:rPr>
              <w:t xml:space="preserve">Per-tenant namespace</w:t>
            </w:r>
          </w:p>
        </w:tc>
      </w:tr>
    </w:tbl>
    <w:p/>
    <w:p>
      <w:pPr>
        <w:pStyle w:val="Heading1"/>
      </w:pPr>
      <w:r>
        <w:t xml:space="preserve">2. Postgres Schema</w:t>
      </w:r>
    </w:p>
    <w:p/>
    <w:p>
      <w:pPr>
        <w:pStyle w:val="Heading2"/>
      </w:pPr>
      <w:r>
        <w:t xml:space="preserve">2.1 Core Tables</w:t>
      </w:r>
    </w:p>
    <w:p/>
    <w:p>
      <w:pPr>
        <w:pStyle w:val="Heading3"/>
      </w:pPr>
      <w:r>
        <w:t xml:space="preserve">tenants</w:t>
      </w:r>
    </w:p>
    <w:p>
      <w:pPr>
        <w:pStyle w:val="ListParagraph"/>
        <w:numPr>
          <w:ilvl w:val="0"/>
          <w:numId w:val="2"/>
        </w:numPr>
        <w:spacing w:after="60"/>
      </w:pPr>
      <w:r>
        <w:t xml:space="preserve">tenant_id UUID PRIMARY KEY</w:t>
      </w:r>
    </w:p>
    <w:p>
      <w:pPr>
        <w:pStyle w:val="ListParagraph"/>
        <w:numPr>
          <w:ilvl w:val="0"/>
          <w:numId w:val="2"/>
        </w:numPr>
        <w:spacing w:after="60"/>
      </w:pPr>
      <w:r>
        <w:t xml:space="preserve">name VARCHAR(255) NOT NULL</w:t>
      </w:r>
    </w:p>
    <w:p>
      <w:pPr>
        <w:pStyle w:val="ListParagraph"/>
        <w:numPr>
          <w:ilvl w:val="0"/>
          <w:numId w:val="2"/>
        </w:numPr>
        <w:spacing w:after="60"/>
      </w:pPr>
      <w:r>
        <w:t xml:space="preserve">erp_type VARCHAR(50)</w:t>
      </w:r>
    </w:p>
    <w:p>
      <w:pPr>
        <w:pStyle w:val="ListParagraph"/>
        <w:numPr>
          <w:ilvl w:val="0"/>
          <w:numId w:val="2"/>
        </w:numPr>
        <w:spacing w:after="60"/>
      </w:pPr>
      <w:r>
        <w:t xml:space="preserve">confidence_threshold DECIMAL(4,3) DEFAULT 0.500</w:t>
      </w:r>
    </w:p>
    <w:p>
      <w:pPr>
        <w:pStyle w:val="ListParagraph"/>
        <w:numPr>
          <w:ilvl w:val="0"/>
          <w:numId w:val="2"/>
        </w:numPr>
        <w:spacing w:after="60"/>
      </w:pPr>
      <w:r>
        <w:t xml:space="preserve">high_value_threshold DECIMAL(12,2) DEFAULT 25000.00</w:t>
      </w:r>
    </w:p>
    <w:p>
      <w:pPr>
        <w:pStyle w:val="ListParagraph"/>
        <w:numPr>
          <w:ilvl w:val="0"/>
          <w:numId w:val="2"/>
        </w:numPr>
        <w:spacing w:after="60"/>
      </w:pPr>
      <w:r>
        <w:t xml:space="preserve">qdrant_collection VARCHAR(255) NOT NULL UNIQUE</w:t>
      </w:r>
    </w:p>
    <w:p>
      <w:pPr>
        <w:pStyle w:val="ListParagraph"/>
        <w:numPr>
          <w:ilvl w:val="0"/>
          <w:numId w:val="2"/>
        </w:numPr>
        <w:spacing w:after="60"/>
      </w:pPr>
      <w:r>
        <w:t xml:space="preserve">graph_id VARCHAR(255) -- GraphRAG graph identifier for this tenant</w:t>
      </w:r>
    </w:p>
    <w:p>
      <w:pPr>
        <w:pStyle w:val="ListParagraph"/>
        <w:numPr>
          <w:ilvl w:val="0"/>
          <w:numId w:val="2"/>
        </w:numPr>
        <w:spacing w:after="60"/>
      </w:pPr>
      <w:r>
        <w:t xml:space="preserve">created_at TIMESTAMPTZ NOT NULL DEFAULT NOW()</w:t>
      </w:r>
    </w:p>
    <w:p>
      <w:pPr>
        <w:pStyle w:val="ListParagraph"/>
        <w:numPr>
          <w:ilvl w:val="0"/>
          <w:numId w:val="2"/>
        </w:numPr>
        <w:spacing w:after="60"/>
      </w:pPr>
      <w:r>
        <w:t xml:space="preserve">is_shadow_mode BOOLEAN DEFAULT TRUE</w:t>
      </w:r>
    </w:p>
    <w:p>
      <w:pPr>
        <w:pStyle w:val="ListParagraph"/>
        <w:numPr>
          <w:ilvl w:val="0"/>
          <w:numId w:val="2"/>
        </w:numPr>
        <w:spacing w:after="60"/>
      </w:pPr>
      <w:r>
        <w:t xml:space="preserve">feature_flags JSONB DEFAULT {} -- per-tenant feature flag overrides</w:t>
      </w:r>
    </w:p>
    <w:p>
      <w:pPr>
        <w:pStyle w:val="ListParagraph"/>
        <w:numPr>
          <w:ilvl w:val="0"/>
          <w:numId w:val="2"/>
        </w:numPr>
        <w:spacing w:after="60"/>
      </w:pPr>
      <w:r>
        <w:t xml:space="preserve">billing_tier VARCHAR(20) DEFAULT starter -- starter | growth | enterprise</w:t>
      </w:r>
    </w:p>
    <w:p>
      <w:pPr>
        <w:pStyle w:val="ListParagraph"/>
        <w:numPr>
          <w:ilvl w:val="0"/>
          <w:numId w:val="2"/>
        </w:numPr>
        <w:spacing w:after="60"/>
      </w:pPr>
      <w:r>
        <w:t xml:space="preserve">white_label_config JSONB -- logo URL, primary colour, company name, custom domain</w:t>
      </w:r>
    </w:p>
    <w:p/>
    <w:p>
      <w:pPr>
        <w:pStyle w:val="Heading3"/>
      </w:pPr>
      <w:r>
        <w:t xml:space="preserve">invoices</w:t>
      </w:r>
    </w:p>
    <w:p>
      <w:pPr>
        <w:pStyle w:val="ListParagraph"/>
        <w:numPr>
          <w:ilvl w:val="0"/>
          <w:numId w:val="2"/>
        </w:numPr>
        <w:spacing w:after="60"/>
      </w:pPr>
      <w:r>
        <w:t xml:space="preserve">invoice_id UUID PRIMARY KEY</w:t>
      </w:r>
    </w:p>
    <w:p>
      <w:pPr>
        <w:pStyle w:val="ListParagraph"/>
        <w:numPr>
          <w:ilvl w:val="0"/>
          <w:numId w:val="2"/>
        </w:numPr>
        <w:spacing w:after="60"/>
      </w:pPr>
      <w:r>
        <w:t xml:space="preserve">tenant_id UUID NOT NULL REFERENCES tenants(tenant_id)</w:t>
      </w:r>
    </w:p>
    <w:p>
      <w:pPr>
        <w:pStyle w:val="ListParagraph"/>
        <w:numPr>
          <w:ilvl w:val="0"/>
          <w:numId w:val="2"/>
        </w:numPr>
        <w:spacing w:after="60"/>
      </w:pPr>
      <w:r>
        <w:t xml:space="preserve">raw_vendor_name VARCHAR(500) NOT NULL</w:t>
      </w:r>
    </w:p>
    <w:p>
      <w:pPr>
        <w:pStyle w:val="ListParagraph"/>
        <w:numPr>
          <w:ilvl w:val="0"/>
          <w:numId w:val="2"/>
        </w:numPr>
        <w:spacing w:after="60"/>
      </w:pPr>
      <w:r>
        <w:t xml:space="preserve">canonical_vendor_id VARCHAR(255)</w:t>
      </w:r>
    </w:p>
    <w:p>
      <w:pPr>
        <w:pStyle w:val="ListParagraph"/>
        <w:numPr>
          <w:ilvl w:val="0"/>
          <w:numId w:val="2"/>
        </w:numPr>
        <w:spacing w:after="60"/>
      </w:pPr>
      <w:r>
        <w:t xml:space="preserve">description TEXT NOT NULL</w:t>
      </w:r>
    </w:p>
    <w:p>
      <w:pPr>
        <w:pStyle w:val="ListParagraph"/>
        <w:numPr>
          <w:ilvl w:val="0"/>
          <w:numId w:val="2"/>
        </w:numPr>
        <w:spacing w:after="60"/>
      </w:pPr>
      <w:r>
        <w:t xml:space="preserve">description_hash VARCHAR(64) -- SHA-256, for deduplication</w:t>
      </w:r>
    </w:p>
    <w:p>
      <w:pPr>
        <w:pStyle w:val="ListParagraph"/>
        <w:numPr>
          <w:ilvl w:val="0"/>
          <w:numId w:val="2"/>
        </w:numPr>
        <w:spacing w:after="60"/>
      </w:pPr>
      <w:r>
        <w:t xml:space="preserve">amount DECIMAL(15,2) NOT NULL</w:t>
      </w:r>
    </w:p>
    <w:p>
      <w:pPr>
        <w:pStyle w:val="ListParagraph"/>
        <w:numPr>
          <w:ilvl w:val="0"/>
          <w:numId w:val="2"/>
        </w:numPr>
        <w:spacing w:after="60"/>
      </w:pPr>
      <w:r>
        <w:t xml:space="preserve">currency VARCHAR(3) NOT NULL DEFAULT GBP</w:t>
      </w:r>
    </w:p>
    <w:p>
      <w:pPr>
        <w:pStyle w:val="ListParagraph"/>
        <w:numPr>
          <w:ilvl w:val="0"/>
          <w:numId w:val="2"/>
        </w:numPr>
        <w:spacing w:after="60"/>
      </w:pPr>
      <w:r>
        <w:t xml:space="preserve">entity_id VARCHAR(50)</w:t>
      </w:r>
    </w:p>
    <w:p>
      <w:pPr>
        <w:pStyle w:val="ListParagraph"/>
        <w:numPr>
          <w:ilvl w:val="0"/>
          <w:numId w:val="2"/>
        </w:numPr>
        <w:spacing w:after="60"/>
      </w:pPr>
      <w:r>
        <w:t xml:space="preserve">cost_centre VARCHAR(50)</w:t>
      </w:r>
    </w:p>
    <w:p>
      <w:pPr>
        <w:pStyle w:val="ListParagraph"/>
        <w:numPr>
          <w:ilvl w:val="0"/>
          <w:numId w:val="2"/>
        </w:numPr>
        <w:spacing w:after="60"/>
      </w:pPr>
      <w:r>
        <w:t xml:space="preserve">source_format VARCHAR(20) -- text | pdf | image -- tracks multimodal ingestion path</w:t>
      </w:r>
    </w:p>
    <w:p>
      <w:pPr>
        <w:pStyle w:val="ListParagraph"/>
        <w:numPr>
          <w:ilvl w:val="0"/>
          <w:numId w:val="2"/>
        </w:numPr>
        <w:spacing w:after="60"/>
      </w:pPr>
      <w:r>
        <w:t xml:space="preserve">extraction_confidence DECIMAL(4,3) -- confidence of PDF/image extraction</w:t>
      </w:r>
    </w:p>
    <w:p>
      <w:pPr>
        <w:pStyle w:val="ListParagraph"/>
        <w:numPr>
          <w:ilvl w:val="0"/>
          <w:numId w:val="2"/>
        </w:numPr>
        <w:spacing w:after="60"/>
      </w:pPr>
      <w:r>
        <w:t xml:space="preserve">status VARCHAR(50) -- pending | predicted | auto_posted | review | confirmed | corrected</w:t>
      </w:r>
    </w:p>
    <w:p>
      <w:pPr>
        <w:pStyle w:val="ListParagraph"/>
        <w:numPr>
          <w:ilvl w:val="0"/>
          <w:numId w:val="2"/>
        </w:numPr>
        <w:spacing w:after="60"/>
      </w:pPr>
      <w:r>
        <w:t xml:space="preserve">predicted_gl VARCHAR(20)</w:t>
      </w:r>
    </w:p>
    <w:p>
      <w:pPr>
        <w:pStyle w:val="ListParagraph"/>
        <w:numPr>
          <w:ilvl w:val="0"/>
          <w:numId w:val="2"/>
        </w:numPr>
        <w:spacing w:after="60"/>
      </w:pPr>
      <w:r>
        <w:t xml:space="preserve">confirmed_gl VARCHAR(20)</w:t>
      </w:r>
    </w:p>
    <w:p>
      <w:pPr>
        <w:pStyle w:val="ListParagraph"/>
        <w:numPr>
          <w:ilvl w:val="0"/>
          <w:numId w:val="2"/>
        </w:numPr>
        <w:spacing w:after="60"/>
      </w:pPr>
      <w:r>
        <w:t xml:space="preserve">weighted_confidence DECIMAL(5,4)</w:t>
      </w:r>
    </w:p>
    <w:p>
      <w:pPr>
        <w:pStyle w:val="ListParagraph"/>
        <w:numPr>
          <w:ilvl w:val="0"/>
          <w:numId w:val="2"/>
        </w:numPr>
        <w:spacing w:after="60"/>
      </w:pPr>
      <w:r>
        <w:t xml:space="preserve">routing_decision VARCHAR(20)</w:t>
      </w:r>
    </w:p>
    <w:p>
      <w:pPr>
        <w:pStyle w:val="ListParagraph"/>
        <w:numPr>
          <w:ilvl w:val="0"/>
          <w:numId w:val="2"/>
        </w:numPr>
        <w:spacing w:after="60"/>
      </w:pPr>
      <w:r>
        <w:t xml:space="preserve">routing_reason TEXT</w:t>
      </w:r>
    </w:p>
    <w:p>
      <w:pPr>
        <w:pStyle w:val="ListParagraph"/>
        <w:numPr>
          <w:ilvl w:val="0"/>
          <w:numId w:val="2"/>
        </w:numPr>
        <w:spacing w:after="60"/>
      </w:pPr>
      <w:r>
        <w:t xml:space="preserve">explanation_text TEXT -- streamed explanation stored after generation</w:t>
      </w:r>
    </w:p>
    <w:p>
      <w:pPr>
        <w:pStyle w:val="ListParagraph"/>
        <w:numPr>
          <w:ilvl w:val="0"/>
          <w:numId w:val="2"/>
        </w:numPr>
        <w:spacing w:after="60"/>
      </w:pPr>
      <w:r>
        <w:t xml:space="preserve">explanation_citations JSONB -- Citations API references stored per explanation</w:t>
      </w:r>
    </w:p>
    <w:p>
      <w:pPr>
        <w:pStyle w:val="ListParagraph"/>
        <w:numPr>
          <w:ilvl w:val="0"/>
          <w:numId w:val="2"/>
        </w:numPr>
        <w:spacing w:after="60"/>
      </w:pPr>
      <w:r>
        <w:t xml:space="preserve">ground_truth_gl VARCHAR(20)</w:t>
      </w:r>
    </w:p>
    <w:p>
      <w:pPr>
        <w:pStyle w:val="ListParagraph"/>
        <w:numPr>
          <w:ilvl w:val="0"/>
          <w:numId w:val="2"/>
        </w:numPr>
        <w:spacing w:after="60"/>
      </w:pPr>
      <w:r>
        <w:t xml:space="preserve">created_at TIMESTAMPTZ NOT NULL DEFAULT NOW()</w:t>
      </w:r>
    </w:p>
    <w:p>
      <w:pPr>
        <w:pStyle w:val="ListParagraph"/>
        <w:numPr>
          <w:ilvl w:val="0"/>
          <w:numId w:val="2"/>
        </w:numPr>
        <w:spacing w:after="60"/>
      </w:pPr>
      <w:r>
        <w:t xml:space="preserve">updated_at TIMESTAMPTZ NOT NULL DEFAULT NOW()</w:t>
      </w:r>
    </w:p>
    <w:p>
      <w:pPr>
        <w:pStyle w:val="ListParagraph"/>
        <w:numPr>
          <w:ilvl w:val="0"/>
          <w:numId w:val="2"/>
        </w:numPr>
        <w:spacing w:after="60"/>
      </w:pPr>
      <w:r>
        <w:t xml:space="preserve">INDEX: (tenant_id, status, created_at DESC)</w:t>
      </w:r>
    </w:p>
    <w:p>
      <w:pPr>
        <w:pStyle w:val="ListParagraph"/>
        <w:numPr>
          <w:ilvl w:val="0"/>
          <w:numId w:val="2"/>
        </w:numPr>
        <w:spacing w:after="60"/>
      </w:pPr>
      <w:r>
        <w:t xml:space="preserve">INDEX: (tenant_id, canonical_vendor_id, created_at DESC)</w:t>
      </w:r>
    </w:p>
    <w:p>
      <w:pPr>
        <w:pStyle w:val="ListParagraph"/>
        <w:numPr>
          <w:ilvl w:val="0"/>
          <w:numId w:val="2"/>
        </w:numPr>
        <w:spacing w:after="60"/>
      </w:pPr>
      <w:r>
        <w:t xml:space="preserve">INDEX: (tenant_id, confirmed_gl, created_at DESC)</w:t>
      </w:r>
    </w:p>
    <w:p>
      <w:pPr>
        <w:pStyle w:val="ListParagraph"/>
        <w:numPr>
          <w:ilvl w:val="0"/>
          <w:numId w:val="2"/>
        </w:numPr>
        <w:spacing w:after="60"/>
      </w:pPr>
      <w:r>
        <w:t xml:space="preserve">PARTITION BY RANGE (created_at) -- monthly</w:t>
      </w:r>
    </w:p>
    <w:p/>
    <w:p>
      <w:pPr>
        <w:pStyle w:val="Heading3"/>
      </w:pPr>
      <w:r>
        <w:t xml:space="preserve">audit_log (append-only)</w:t>
      </w:r>
    </w:p>
    <w:p>
      <w:pPr>
        <w:pStyle w:val="ListParagraph"/>
        <w:numPr>
          <w:ilvl w:val="0"/>
          <w:numId w:val="2"/>
        </w:numPr>
        <w:spacing w:after="60"/>
      </w:pPr>
      <w:r>
        <w:t xml:space="preserve">audit_id UUID PRIMARY KEY</w:t>
      </w:r>
    </w:p>
    <w:p>
      <w:pPr>
        <w:pStyle w:val="ListParagraph"/>
        <w:numPr>
          <w:ilvl w:val="0"/>
          <w:numId w:val="2"/>
        </w:numPr>
        <w:spacing w:after="60"/>
      </w:pPr>
      <w:r>
        <w:t xml:space="preserve">tenant_id UUID NOT NULL</w:t>
      </w:r>
    </w:p>
    <w:p>
      <w:pPr>
        <w:pStyle w:val="ListParagraph"/>
        <w:numPr>
          <w:ilvl w:val="0"/>
          <w:numId w:val="2"/>
        </w:numPr>
        <w:spacing w:after="60"/>
      </w:pPr>
      <w:r>
        <w:t xml:space="preserve">invoice_id UUID NOT NULL</w:t>
      </w:r>
    </w:p>
    <w:p>
      <w:pPr>
        <w:pStyle w:val="ListParagraph"/>
        <w:numPr>
          <w:ilvl w:val="0"/>
          <w:numId w:val="2"/>
        </w:numPr>
        <w:spacing w:after="60"/>
      </w:pPr>
      <w:r>
        <w:t xml:space="preserve">event_type VARCHAR(50)</w:t>
      </w:r>
    </w:p>
    <w:p>
      <w:pPr>
        <w:pStyle w:val="ListParagraph"/>
        <w:numPr>
          <w:ilvl w:val="0"/>
          <w:numId w:val="2"/>
        </w:numPr>
        <w:spacing w:after="60"/>
      </w:pPr>
      <w:r>
        <w:t xml:space="preserve">predicted_gl VARCHAR(20)</w:t>
      </w:r>
    </w:p>
    <w:p>
      <w:pPr>
        <w:pStyle w:val="ListParagraph"/>
        <w:numPr>
          <w:ilvl w:val="0"/>
          <w:numId w:val="2"/>
        </w:numPr>
        <w:spacing w:after="60"/>
      </w:pPr>
      <w:r>
        <w:t xml:space="preserve">confirmed_gl VARCHAR(20)</w:t>
      </w:r>
    </w:p>
    <w:p>
      <w:pPr>
        <w:pStyle w:val="ListParagraph"/>
        <w:numPr>
          <w:ilvl w:val="0"/>
          <w:numId w:val="2"/>
        </w:numPr>
        <w:spacing w:after="60"/>
      </w:pPr>
      <w:r>
        <w:t xml:space="preserve">confidence DECIMAL(5,4)</w:t>
      </w:r>
    </w:p>
    <w:p>
      <w:pPr>
        <w:pStyle w:val="ListParagraph"/>
        <w:numPr>
          <w:ilvl w:val="0"/>
          <w:numId w:val="2"/>
        </w:numPr>
        <w:spacing w:after="60"/>
      </w:pPr>
      <w:r>
        <w:t xml:space="preserve">routing_decision VARCHAR(20)</w:t>
      </w:r>
    </w:p>
    <w:p>
      <w:pPr>
        <w:pStyle w:val="ListParagraph"/>
        <w:numPr>
          <w:ilvl w:val="0"/>
          <w:numId w:val="2"/>
        </w:numPr>
        <w:spacing w:after="60"/>
      </w:pPr>
      <w:r>
        <w:t xml:space="preserve">source VARCHAR(30)</w:t>
      </w:r>
    </w:p>
    <w:p>
      <w:pPr>
        <w:pStyle w:val="ListParagraph"/>
        <w:numPr>
          <w:ilvl w:val="0"/>
          <w:numId w:val="2"/>
        </w:numPr>
        <w:spacing w:after="60"/>
      </w:pPr>
      <w:r>
        <w:t xml:space="preserve">user_id UUID</w:t>
      </w:r>
    </w:p>
    <w:p>
      <w:pPr>
        <w:pStyle w:val="ListParagraph"/>
        <w:numPr>
          <w:ilvl w:val="0"/>
          <w:numId w:val="2"/>
        </w:numPr>
        <w:spacing w:after="60"/>
      </w:pPr>
      <w:r>
        <w:t xml:space="preserve">trace_id VARCHAR(255)</w:t>
      </w:r>
    </w:p>
    <w:p>
      <w:pPr>
        <w:pStyle w:val="ListParagraph"/>
        <w:numPr>
          <w:ilvl w:val="0"/>
          <w:numId w:val="2"/>
        </w:numPr>
        <w:spacing w:after="60"/>
      </w:pPr>
      <w:r>
        <w:t xml:space="preserve">model_used VARCHAR(100) -- which LLM model was used for this decision</w:t>
      </w:r>
    </w:p>
    <w:p>
      <w:pPr>
        <w:pStyle w:val="ListParagraph"/>
        <w:numPr>
          <w:ilvl w:val="0"/>
          <w:numId w:val="2"/>
        </w:numPr>
        <w:spacing w:after="60"/>
      </w:pPr>
      <w:r>
        <w:t xml:space="preserve">prompt_cache_hit BOOLEAN -- whether prompt cache was hit for this call</w:t>
      </w:r>
    </w:p>
    <w:p>
      <w:pPr>
        <w:pStyle w:val="ListParagraph"/>
        <w:numPr>
          <w:ilvl w:val="0"/>
          <w:numId w:val="2"/>
        </w:numPr>
        <w:spacing w:after="60"/>
      </w:pPr>
      <w:r>
        <w:t xml:space="preserve">token_cost_usd DECIMAL(10,6) -- LLM API cost for this event</w:t>
      </w:r>
    </w:p>
    <w:p>
      <w:pPr>
        <w:pStyle w:val="ListParagraph"/>
        <w:numPr>
          <w:ilvl w:val="0"/>
          <w:numId w:val="2"/>
        </w:numPr>
        <w:spacing w:after="60"/>
      </w:pPr>
      <w:r>
        <w:t xml:space="preserve">provenance_json JSONB -- full evidence, retrieved lines, scores, citations</w:t>
      </w:r>
    </w:p>
    <w:p>
      <w:pPr>
        <w:pStyle w:val="ListParagraph"/>
        <w:numPr>
          <w:ilvl w:val="0"/>
          <w:numId w:val="2"/>
        </w:numPr>
        <w:spacing w:after="60"/>
      </w:pPr>
      <w:r>
        <w:t xml:space="preserve">created_at TIMESTAMPTZ NOT NULL DEFAULT NOW()</w:t>
      </w:r>
    </w:p>
    <w:p>
      <w:pPr>
        <w:pStyle w:val="ListParagraph"/>
        <w:numPr>
          <w:ilvl w:val="0"/>
          <w:numId w:val="2"/>
        </w:numPr>
        <w:spacing w:after="60"/>
      </w:pPr>
      <w:r>
        <w:t xml:space="preserve">INDEX: (tenant_id, invoice_id)</w:t>
      </w:r>
    </w:p>
    <w:p>
      <w:pPr>
        <w:pStyle w:val="ListParagraph"/>
        <w:numPr>
          <w:ilvl w:val="0"/>
          <w:numId w:val="2"/>
        </w:numPr>
        <w:spacing w:after="60"/>
      </w:pPr>
      <w:r>
        <w:t xml:space="preserve">INDEX: (tenant_id, created_at DESC)</w:t>
      </w:r>
    </w:p>
    <w:p>
      <w:pPr>
        <w:pStyle w:val="ListParagraph"/>
        <w:numPr>
          <w:ilvl w:val="0"/>
          <w:numId w:val="2"/>
        </w:numPr>
        <w:spacing w:after="60"/>
      </w:pPr>
      <w:r>
        <w:t xml:space="preserve">INDEX: (tenant_id, event_type, created_at DESC)</w:t>
      </w:r>
    </w:p>
    <w:p>
      <w:r>
        <w:rPr>
          <w:rFonts w:ascii="Arial" w:cs="Arial" w:eastAsia="Arial" w:hAnsi="Arial"/>
          <w:i/>
          <w:iCs/>
          <w:color w:val="6B7280"/>
          <w:sz w:val="18"/>
          <w:szCs w:val="18"/>
        </w:rPr>
        <w:t xml:space="preserve">Append-only enforced via Postgres row security policy: no UPDATE or DELETE for any role.</w:t>
      </w:r>
    </w:p>
    <w:p/>
    <w:p>
      <w:pPr>
        <w:pStyle w:val="Heading3"/>
      </w:pPr>
      <w:r>
        <w:t xml:space="preserve">corpus_points</w:t>
      </w:r>
    </w:p>
    <w:p>
      <w:pPr>
        <w:pStyle w:val="ListParagraph"/>
        <w:numPr>
          <w:ilvl w:val="0"/>
          <w:numId w:val="2"/>
        </w:numPr>
        <w:spacing w:after="60"/>
      </w:pPr>
      <w:r>
        <w:t xml:space="preserve">point_id UUID PRIMARY KEY</w:t>
      </w:r>
    </w:p>
    <w:p>
      <w:pPr>
        <w:pStyle w:val="ListParagraph"/>
        <w:numPr>
          <w:ilvl w:val="0"/>
          <w:numId w:val="2"/>
        </w:numPr>
        <w:spacing w:after="60"/>
      </w:pPr>
      <w:r>
        <w:t xml:space="preserve">tenant_id UUID NOT NULL</w:t>
      </w:r>
    </w:p>
    <w:p>
      <w:pPr>
        <w:pStyle w:val="ListParagraph"/>
        <w:numPr>
          <w:ilvl w:val="0"/>
          <w:numId w:val="2"/>
        </w:numPr>
        <w:spacing w:after="60"/>
      </w:pPr>
      <w:r>
        <w:t xml:space="preserve">invoice_id UUID</w:t>
      </w:r>
    </w:p>
    <w:p>
      <w:pPr>
        <w:pStyle w:val="ListParagraph"/>
        <w:numPr>
          <w:ilvl w:val="0"/>
          <w:numId w:val="2"/>
        </w:numPr>
        <w:spacing w:after="60"/>
      </w:pPr>
      <w:r>
        <w:t xml:space="preserve">vendor_id VARCHAR(255) NOT NULL</w:t>
      </w:r>
    </w:p>
    <w:p>
      <w:pPr>
        <w:pStyle w:val="ListParagraph"/>
        <w:numPr>
          <w:ilvl w:val="0"/>
          <w:numId w:val="2"/>
        </w:numPr>
        <w:spacing w:after="60"/>
      </w:pPr>
      <w:r>
        <w:t xml:space="preserve">gl_account VARCHAR(20) NOT NULL</w:t>
      </w:r>
    </w:p>
    <w:p>
      <w:pPr>
        <w:pStyle w:val="ListParagraph"/>
        <w:numPr>
          <w:ilvl w:val="0"/>
          <w:numId w:val="2"/>
        </w:numPr>
        <w:spacing w:after="60"/>
      </w:pPr>
      <w:r>
        <w:t xml:space="preserve">cost_centre VARCHAR(50)</w:t>
      </w:r>
    </w:p>
    <w:p>
      <w:pPr>
        <w:pStyle w:val="ListParagraph"/>
        <w:numPr>
          <w:ilvl w:val="0"/>
          <w:numId w:val="2"/>
        </w:numPr>
        <w:spacing w:after="60"/>
      </w:pPr>
      <w:r>
        <w:t xml:space="preserve">description TEXT NOT NULL</w:t>
      </w:r>
    </w:p>
    <w:p>
      <w:pPr>
        <w:pStyle w:val="ListParagraph"/>
        <w:numPr>
          <w:ilvl w:val="0"/>
          <w:numId w:val="2"/>
        </w:numPr>
        <w:spacing w:after="60"/>
      </w:pPr>
      <w:r>
        <w:t xml:space="preserve">description_hash VARCHAR(64)</w:t>
      </w:r>
    </w:p>
    <w:p>
      <w:pPr>
        <w:pStyle w:val="ListParagraph"/>
        <w:numPr>
          <w:ilvl w:val="0"/>
          <w:numId w:val="2"/>
        </w:numPr>
        <w:spacing w:after="60"/>
      </w:pPr>
      <w:r>
        <w:t xml:space="preserve">amount_band VARCHAR(20)</w:t>
      </w:r>
    </w:p>
    <w:p>
      <w:pPr>
        <w:pStyle w:val="ListParagraph"/>
        <w:numPr>
          <w:ilvl w:val="0"/>
          <w:numId w:val="2"/>
        </w:numPr>
        <w:spacing w:after="60"/>
      </w:pPr>
      <w:r>
        <w:t xml:space="preserve">currency VARCHAR(3)</w:t>
      </w:r>
    </w:p>
    <w:p>
      <w:pPr>
        <w:pStyle w:val="ListParagraph"/>
        <w:numPr>
          <w:ilvl w:val="0"/>
          <w:numId w:val="2"/>
        </w:numPr>
        <w:spacing w:after="60"/>
      </w:pPr>
      <w:r>
        <w:t xml:space="preserve">source VARCHAR(30)</w:t>
      </w:r>
    </w:p>
    <w:p>
      <w:pPr>
        <w:pStyle w:val="ListParagraph"/>
        <w:numPr>
          <w:ilvl w:val="0"/>
          <w:numId w:val="2"/>
        </w:numPr>
        <w:spacing w:after="60"/>
      </w:pPr>
      <w:r>
        <w:t xml:space="preserve">confirmation_count INT DEFAULT 1</w:t>
      </w:r>
    </w:p>
    <w:p>
      <w:pPr>
        <w:pStyle w:val="ListParagraph"/>
        <w:numPr>
          <w:ilvl w:val="0"/>
          <w:numId w:val="2"/>
        </w:numPr>
        <w:spacing w:after="60"/>
      </w:pPr>
      <w:r>
        <w:t xml:space="preserve">source_weight DECIMAL(3,1) DEFAULT 1.0</w:t>
      </w:r>
    </w:p>
    <w:p>
      <w:pPr>
        <w:pStyle w:val="ListParagraph"/>
        <w:numPr>
          <w:ilvl w:val="0"/>
          <w:numId w:val="2"/>
        </w:numPr>
        <w:spacing w:after="60"/>
      </w:pPr>
      <w:r>
        <w:t xml:space="preserve">embedding_model VARCHAR(100)</w:t>
      </w:r>
    </w:p>
    <w:p>
      <w:pPr>
        <w:pStyle w:val="ListParagraph"/>
        <w:numPr>
          <w:ilvl w:val="0"/>
          <w:numId w:val="2"/>
        </w:numPr>
        <w:spacing w:after="60"/>
      </w:pPr>
      <w:r>
        <w:t xml:space="preserve">embedding_model_version VARCHAR(50) -- tracks version for re-embedding on model update</w:t>
      </w:r>
    </w:p>
    <w:p>
      <w:pPr>
        <w:pStyle w:val="ListParagraph"/>
        <w:numPr>
          <w:ilvl w:val="0"/>
          <w:numId w:val="2"/>
        </w:numPr>
        <w:spacing w:after="60"/>
      </w:pPr>
      <w:r>
        <w:t xml:space="preserve">is_multimodal BOOLEAN DEFAULT FALSE -- true if indexed via ColPali</w:t>
      </w:r>
    </w:p>
    <w:p>
      <w:pPr>
        <w:pStyle w:val="ListParagraph"/>
        <w:numPr>
          <w:ilvl w:val="0"/>
          <w:numId w:val="2"/>
        </w:numPr>
        <w:spacing w:after="60"/>
      </w:pPr>
      <w:r>
        <w:t xml:space="preserve">pdf_s3_key VARCHAR(500) -- S3 key of original PDF/image if multimodal</w:t>
      </w:r>
    </w:p>
    <w:p>
      <w:pPr>
        <w:pStyle w:val="ListParagraph"/>
        <w:numPr>
          <w:ilvl w:val="0"/>
          <w:numId w:val="2"/>
        </w:numPr>
        <w:spacing w:after="60"/>
      </w:pPr>
      <w:r>
        <w:t xml:space="preserve">confirmed_at TIMESTAMPTZ NOT NULL</w:t>
      </w:r>
    </w:p>
    <w:p>
      <w:pPr>
        <w:pStyle w:val="ListParagraph"/>
        <w:numPr>
          <w:ilvl w:val="0"/>
          <w:numId w:val="2"/>
        </w:numPr>
        <w:spacing w:after="60"/>
      </w:pPr>
      <w:r>
        <w:t xml:space="preserve">indexed_at TIMESTAMPTZ NOT NULL DEFAULT NOW()</w:t>
      </w:r>
    </w:p>
    <w:p>
      <w:pPr>
        <w:pStyle w:val="ListParagraph"/>
        <w:numPr>
          <w:ilvl w:val="0"/>
          <w:numId w:val="2"/>
        </w:numPr>
        <w:spacing w:after="60"/>
      </w:pPr>
      <w:r>
        <w:t xml:space="preserve">is_outlier_flagged BOOLEAN DEFAULT FALSE</w:t>
      </w:r>
    </w:p>
    <w:p>
      <w:pPr>
        <w:pStyle w:val="ListParagraph"/>
        <w:numPr>
          <w:ilvl w:val="0"/>
          <w:numId w:val="2"/>
        </w:numPr>
        <w:spacing w:after="60"/>
      </w:pPr>
      <w:r>
        <w:t xml:space="preserve">is_erasure_pending BOOLEAN DEFAULT FALSE -- GDPR right to erasure flag</w:t>
      </w:r>
    </w:p>
    <w:p>
      <w:pPr>
        <w:pStyle w:val="ListParagraph"/>
        <w:numPr>
          <w:ilvl w:val="0"/>
          <w:numId w:val="2"/>
        </w:numPr>
        <w:spacing w:after="60"/>
      </w:pPr>
      <w:r>
        <w:t xml:space="preserve">erasure_requested_at TIMESTAMPTZ</w:t>
      </w:r>
    </w:p>
    <w:p>
      <w:pPr>
        <w:pStyle w:val="ListParagraph"/>
        <w:numPr>
          <w:ilvl w:val="0"/>
          <w:numId w:val="2"/>
        </w:numPr>
        <w:spacing w:after="60"/>
      </w:pPr>
      <w:r>
        <w:t xml:space="preserve">erasure_completed_at TIMESTAMPTZ</w:t>
      </w:r>
    </w:p>
    <w:p>
      <w:pPr>
        <w:pStyle w:val="ListParagraph"/>
        <w:numPr>
          <w:ilvl w:val="0"/>
          <w:numId w:val="2"/>
        </w:numPr>
        <w:spacing w:after="60"/>
      </w:pPr>
      <w:r>
        <w:t xml:space="preserve">INDEX: (tenant_id, vendor_id)</w:t>
      </w:r>
    </w:p>
    <w:p>
      <w:pPr>
        <w:pStyle w:val="ListParagraph"/>
        <w:numPr>
          <w:ilvl w:val="0"/>
          <w:numId w:val="2"/>
        </w:numPr>
        <w:spacing w:after="60"/>
      </w:pPr>
      <w:r>
        <w:t xml:space="preserve">INDEX: (tenant_id, gl_account)</w:t>
      </w:r>
    </w:p>
    <w:p>
      <w:pPr>
        <w:pStyle w:val="ListParagraph"/>
        <w:numPr>
          <w:ilvl w:val="0"/>
          <w:numId w:val="2"/>
        </w:numPr>
        <w:spacing w:after="60"/>
      </w:pPr>
      <w:r>
        <w:t xml:space="preserve">INDEX: (tenant_id, confirmed_at DESC)</w:t>
      </w:r>
    </w:p>
    <w:p>
      <w:pPr>
        <w:pStyle w:val="ListParagraph"/>
        <w:numPr>
          <w:ilvl w:val="0"/>
          <w:numId w:val="2"/>
        </w:numPr>
        <w:spacing w:after="60"/>
      </w:pPr>
      <w:r>
        <w:t xml:space="preserve">INDEX: (tenant_id, is_erasure_pending) WHERE is_erasure_pending = TRUE</w:t>
      </w:r>
    </w:p>
    <w:p/>
    <w:p>
      <w:pPr>
        <w:pStyle w:val="Heading3"/>
      </w:pPr>
      <w:r>
        <w:t xml:space="preserve">erasure_requests</w:t>
      </w:r>
    </w:p>
    <w:p>
      <w:pPr>
        <w:pStyle w:val="ListParagraph"/>
        <w:numPr>
          <w:ilvl w:val="0"/>
          <w:numId w:val="2"/>
        </w:numPr>
        <w:spacing w:after="60"/>
      </w:pPr>
      <w:r>
        <w:t xml:space="preserve">erasure_id UUID PRIMARY KEY</w:t>
      </w:r>
    </w:p>
    <w:p>
      <w:pPr>
        <w:pStyle w:val="ListParagraph"/>
        <w:numPr>
          <w:ilvl w:val="0"/>
          <w:numId w:val="2"/>
        </w:numPr>
        <w:spacing w:after="60"/>
      </w:pPr>
      <w:r>
        <w:t xml:space="preserve">tenant_id UUID NOT NULL</w:t>
      </w:r>
    </w:p>
    <w:p>
      <w:pPr>
        <w:pStyle w:val="ListParagraph"/>
        <w:numPr>
          <w:ilvl w:val="0"/>
          <w:numId w:val="2"/>
        </w:numPr>
        <w:spacing w:after="60"/>
      </w:pPr>
      <w:r>
        <w:t xml:space="preserve">vendor_id VARCHAR(255) -- erasure by vendor</w:t>
      </w:r>
    </w:p>
    <w:p>
      <w:pPr>
        <w:pStyle w:val="ListParagraph"/>
        <w:numPr>
          <w:ilvl w:val="0"/>
          <w:numId w:val="2"/>
        </w:numPr>
        <w:spacing w:after="60"/>
      </w:pPr>
      <w:r>
        <w:t xml:space="preserve">invoice_id UUID -- erasure by specific invoice</w:t>
      </w:r>
    </w:p>
    <w:p>
      <w:pPr>
        <w:pStyle w:val="ListParagraph"/>
        <w:numPr>
          <w:ilvl w:val="0"/>
          <w:numId w:val="2"/>
        </w:numPr>
        <w:spacing w:after="60"/>
      </w:pPr>
      <w:r>
        <w:t xml:space="preserve">requested_by UUID NOT NULL</w:t>
      </w:r>
    </w:p>
    <w:p>
      <w:pPr>
        <w:pStyle w:val="ListParagraph"/>
        <w:numPr>
          <w:ilvl w:val="0"/>
          <w:numId w:val="2"/>
        </w:numPr>
        <w:spacing w:after="60"/>
      </w:pPr>
      <w:r>
        <w:t xml:space="preserve">requested_at TIMESTAMPTZ NOT NULL DEFAULT NOW()</w:t>
      </w:r>
    </w:p>
    <w:p>
      <w:pPr>
        <w:pStyle w:val="ListParagraph"/>
        <w:numPr>
          <w:ilvl w:val="0"/>
          <w:numId w:val="2"/>
        </w:numPr>
        <w:spacing w:after="60"/>
      </w:pPr>
      <w:r>
        <w:t xml:space="preserve">status VARCHAR(30) -- pending | in_progress | completed | failed</w:t>
      </w:r>
    </w:p>
    <w:p>
      <w:pPr>
        <w:pStyle w:val="ListParagraph"/>
        <w:numPr>
          <w:ilvl w:val="0"/>
          <w:numId w:val="2"/>
        </w:numPr>
        <w:spacing w:after="60"/>
      </w:pPr>
      <w:r>
        <w:t xml:space="preserve">corpus_points_deleted INT</w:t>
      </w:r>
    </w:p>
    <w:p>
      <w:pPr>
        <w:pStyle w:val="ListParagraph"/>
        <w:numPr>
          <w:ilvl w:val="0"/>
          <w:numId w:val="2"/>
        </w:numPr>
        <w:spacing w:after="60"/>
      </w:pPr>
      <w:r>
        <w:t xml:space="preserve">qdrant_points_deleted INT</w:t>
      </w:r>
    </w:p>
    <w:p>
      <w:pPr>
        <w:pStyle w:val="ListParagraph"/>
        <w:numPr>
          <w:ilvl w:val="0"/>
          <w:numId w:val="2"/>
        </w:numPr>
        <w:spacing w:after="60"/>
      </w:pPr>
      <w:r>
        <w:t xml:space="preserve">audit_log_anonymised INT</w:t>
      </w:r>
    </w:p>
    <w:p>
      <w:pPr>
        <w:pStyle w:val="ListParagraph"/>
        <w:numPr>
          <w:ilvl w:val="0"/>
          <w:numId w:val="2"/>
        </w:numPr>
        <w:spacing w:after="60"/>
      </w:pPr>
      <w:r>
        <w:t xml:space="preserve">embeddings_cache_invalidated BOOLEAN</w:t>
      </w:r>
    </w:p>
    <w:p>
      <w:pPr>
        <w:pStyle w:val="ListParagraph"/>
        <w:numPr>
          <w:ilvl w:val="0"/>
          <w:numId w:val="2"/>
        </w:numPr>
        <w:spacing w:after="60"/>
      </w:pPr>
      <w:r>
        <w:t xml:space="preserve">completed_at TIMESTAMPTZ</w:t>
      </w:r>
    </w:p>
    <w:p>
      <w:pPr>
        <w:pStyle w:val="ListParagraph"/>
        <w:numPr>
          <w:ilvl w:val="0"/>
          <w:numId w:val="2"/>
        </w:numPr>
        <w:spacing w:after="60"/>
      </w:pPr>
      <w:r>
        <w:t xml:space="preserve">error_detail TEXT</w:t>
      </w:r>
    </w:p>
    <w:p/>
    <w:p>
      <w:pPr>
        <w:pStyle w:val="Heading2"/>
      </w:pPr>
      <w:r>
        <w:t xml:space="preserve">2.2 Row Level Security</w:t>
      </w:r>
    </w:p>
    <w:p>
      <w:pPr>
        <w:pStyle w:val="ListParagraph"/>
        <w:numPr>
          <w:ilvl w:val="0"/>
          <w:numId w:val="2"/>
        </w:numPr>
        <w:spacing w:after="60"/>
      </w:pPr>
      <w:r>
        <w:t xml:space="preserve">Every table includes tenant_id -- enforced at DB level via RLS policy</w:t>
      </w:r>
    </w:p>
    <w:p>
      <w:pPr>
        <w:pStyle w:val="ListParagraph"/>
        <w:numPr>
          <w:ilvl w:val="0"/>
          <w:numId w:val="2"/>
        </w:numPr>
        <w:spacing w:after="60"/>
      </w:pPr>
      <w:r>
        <w:t xml:space="preserve">Policy: tenant_id = current_setting(app.tenant_id)::UUID</w:t>
      </w:r>
    </w:p>
    <w:p>
      <w:pPr>
        <w:pStyle w:val="ListParagraph"/>
        <w:numPr>
          <w:ilvl w:val="0"/>
          <w:numId w:val="2"/>
        </w:numPr>
        <w:spacing w:after="60"/>
      </w:pPr>
      <w:r>
        <w:t xml:space="preserve">Set per request: SET LOCAL app.tenant_id = &lt;tenant_id&gt; in transaction</w:t>
      </w:r>
    </w:p>
    <w:p>
      <w:pPr>
        <w:pStyle w:val="ListParagraph"/>
        <w:numPr>
          <w:ilvl w:val="0"/>
          <w:numId w:val="2"/>
        </w:numPr>
        <w:spacing w:after="60"/>
      </w:pPr>
      <w:r>
        <w:t xml:space="preserve">Service accounts bypass RLS only for admin operations</w:t>
      </w:r>
    </w:p>
    <w:p>
      <w:pPr>
        <w:pStyle w:val="ListParagraph"/>
        <w:numPr>
          <w:ilvl w:val="0"/>
          <w:numId w:val="2"/>
        </w:numPr>
        <w:spacing w:after="60"/>
      </w:pPr>
      <w:r>
        <w:t xml:space="preserve">audit_log: INSERT only via service account -- no UPDATE or DELETE for any role</w:t>
      </w:r>
    </w:p>
    <w:p>
      <w:pPr>
        <w:pStyle w:val="ListParagraph"/>
        <w:numPr>
          <w:ilvl w:val="0"/>
          <w:numId w:val="2"/>
        </w:numPr>
        <w:spacing w:after="60"/>
      </w:pPr>
      <w:r>
        <w:t xml:space="preserve">erasure_requests: INSERT by AP Manager role; UPDATE only by erasure service account</w:t>
      </w:r>
    </w:p>
    <w:p/>
    <w:p>
      <w:pPr>
        <w:pStyle w:val="Heading1"/>
      </w:pPr>
      <w:r>
        <w:t xml:space="preserve">3. Qdrant Vector Store</w:t>
      </w:r>
    </w:p>
    <w:p/>
    <w:p>
      <w:pPr>
        <w:pStyle w:val="Heading2"/>
      </w:pPr>
      <w:r>
        <w:t xml:space="preserve">3.1 Collection Design</w:t>
      </w:r>
    </w:p>
    <w:p>
      <w:pPr>
        <w:pStyle w:val="ListParagraph"/>
        <w:numPr>
          <w:ilvl w:val="0"/>
          <w:numId w:val="2"/>
        </w:numPr>
        <w:spacing w:after="60"/>
      </w:pPr>
      <w:r>
        <w:t xml:space="preserve">One collection per tenant -- named ap_{tenant_id}</w:t>
      </w:r>
    </w:p>
    <w:p>
      <w:pPr>
        <w:pStyle w:val="ListParagraph"/>
        <w:numPr>
          <w:ilvl w:val="0"/>
          <w:numId w:val="2"/>
        </w:numPr>
        <w:spacing w:after="60"/>
      </w:pPr>
      <w:r>
        <w:t xml:space="preserve">Multi-vector storage: dense (text-embedding-3-small, 1536 dims), sparse (BM25), ColPali (multi-vector for image invoices)</w:t>
      </w:r>
    </w:p>
    <w:p>
      <w:pPr>
        <w:pStyle w:val="ListParagraph"/>
        <w:numPr>
          <w:ilvl w:val="0"/>
          <w:numId w:val="2"/>
        </w:numPr>
        <w:spacing w:after="60"/>
      </w:pPr>
      <w:r>
        <w:t xml:space="preserve">Distance metric: Cosine for dense; dot product for sparse</w:t>
      </w:r>
    </w:p>
    <w:p>
      <w:pPr>
        <w:pStyle w:val="ListParagraph"/>
        <w:numPr>
          <w:ilvl w:val="0"/>
          <w:numId w:val="2"/>
        </w:numPr>
        <w:spacing w:after="60"/>
      </w:pPr>
      <w:r>
        <w:t xml:space="preserve">On-disk payload index -- filter by vendor_id, gl_account, amount_band, embedding_model_version</w:t>
      </w:r>
    </w:p>
    <w:p>
      <w:pPr>
        <w:pStyle w:val="ListParagraph"/>
        <w:numPr>
          <w:ilvl w:val="0"/>
          <w:numId w:val="2"/>
        </w:numPr>
        <w:spacing w:after="60"/>
      </w:pPr>
      <w:r>
        <w:t xml:space="preserve">Named vectors: "dense", "sparse", "colpali" -- each vector type stored and queried independently</w:t>
      </w:r>
    </w:p>
    <w:p/>
    <w:p>
      <w:pPr>
        <w:pStyle w:val="Heading2"/>
      </w:pPr>
      <w:r>
        <w:t xml:space="preserve">3.2 Point Payload Schema</w:t>
      </w:r>
    </w:p>
    <w:p>
      <w:pPr>
        <w:pStyle w:val="ListParagraph"/>
        <w:numPr>
          <w:ilvl w:val="0"/>
          <w:numId w:val="2"/>
        </w:numPr>
        <w:spacing w:after="60"/>
      </w:pPr>
      <w:r>
        <w:t xml:space="preserve">point_id: UUID string</w:t>
      </w:r>
    </w:p>
    <w:p>
      <w:pPr>
        <w:pStyle w:val="ListParagraph"/>
        <w:numPr>
          <w:ilvl w:val="0"/>
          <w:numId w:val="2"/>
        </w:numPr>
        <w:spacing w:after="60"/>
      </w:pPr>
      <w:r>
        <w:t xml:space="preserve">invoice_id: UUID string</w:t>
      </w:r>
    </w:p>
    <w:p>
      <w:pPr>
        <w:pStyle w:val="ListParagraph"/>
        <w:numPr>
          <w:ilvl w:val="0"/>
          <w:numId w:val="2"/>
        </w:numPr>
        <w:spacing w:after="60"/>
      </w:pPr>
      <w:r>
        <w:t xml:space="preserve">vendor_id: string -- indexed</w:t>
      </w:r>
    </w:p>
    <w:p>
      <w:pPr>
        <w:pStyle w:val="ListParagraph"/>
        <w:numPr>
          <w:ilvl w:val="0"/>
          <w:numId w:val="2"/>
        </w:numPr>
        <w:spacing w:after="60"/>
      </w:pPr>
      <w:r>
        <w:t xml:space="preserve">gl_account: string -- indexed</w:t>
      </w:r>
    </w:p>
    <w:p>
      <w:pPr>
        <w:pStyle w:val="ListParagraph"/>
        <w:numPr>
          <w:ilvl w:val="0"/>
          <w:numId w:val="2"/>
        </w:numPr>
        <w:spacing w:after="60"/>
      </w:pPr>
      <w:r>
        <w:t xml:space="preserve">cost_centre: string</w:t>
      </w:r>
    </w:p>
    <w:p>
      <w:pPr>
        <w:pStyle w:val="ListParagraph"/>
        <w:numPr>
          <w:ilvl w:val="0"/>
          <w:numId w:val="2"/>
        </w:numPr>
        <w:spacing w:after="60"/>
      </w:pPr>
      <w:r>
        <w:t xml:space="preserve">description: string</w:t>
      </w:r>
    </w:p>
    <w:p>
      <w:pPr>
        <w:pStyle w:val="ListParagraph"/>
        <w:numPr>
          <w:ilvl w:val="0"/>
          <w:numId w:val="2"/>
        </w:numPr>
        <w:spacing w:after="60"/>
      </w:pPr>
      <w:r>
        <w:t xml:space="preserve">amount_band: string -- indexed</w:t>
      </w:r>
    </w:p>
    <w:p>
      <w:pPr>
        <w:pStyle w:val="ListParagraph"/>
        <w:numPr>
          <w:ilvl w:val="0"/>
          <w:numId w:val="2"/>
        </w:numPr>
        <w:spacing w:after="60"/>
      </w:pPr>
      <w:r>
        <w:t xml:space="preserve">currency: string -- indexed</w:t>
      </w:r>
    </w:p>
    <w:p>
      <w:pPr>
        <w:pStyle w:val="ListParagraph"/>
        <w:numPr>
          <w:ilvl w:val="0"/>
          <w:numId w:val="2"/>
        </w:numPr>
        <w:spacing w:after="60"/>
      </w:pPr>
      <w:r>
        <w:t xml:space="preserve">source: string</w:t>
      </w:r>
    </w:p>
    <w:p>
      <w:pPr>
        <w:pStyle w:val="ListParagraph"/>
        <w:numPr>
          <w:ilvl w:val="0"/>
          <w:numId w:val="2"/>
        </w:numPr>
        <w:spacing w:after="60"/>
      </w:pPr>
      <w:r>
        <w:t xml:space="preserve">source_weight: float</w:t>
      </w:r>
    </w:p>
    <w:p>
      <w:pPr>
        <w:pStyle w:val="ListParagraph"/>
        <w:numPr>
          <w:ilvl w:val="0"/>
          <w:numId w:val="2"/>
        </w:numPr>
        <w:spacing w:after="60"/>
      </w:pPr>
      <w:r>
        <w:t xml:space="preserve">confirmation_count: integer</w:t>
      </w:r>
    </w:p>
    <w:p>
      <w:pPr>
        <w:pStyle w:val="ListParagraph"/>
        <w:numPr>
          <w:ilvl w:val="0"/>
          <w:numId w:val="2"/>
        </w:numPr>
        <w:spacing w:after="60"/>
      </w:pPr>
      <w:r>
        <w:t xml:space="preserve">confirmed_at: string ISO8601</w:t>
      </w:r>
    </w:p>
    <w:p>
      <w:pPr>
        <w:pStyle w:val="ListParagraph"/>
        <w:numPr>
          <w:ilvl w:val="0"/>
          <w:numId w:val="2"/>
        </w:numPr>
        <w:spacing w:after="60"/>
      </w:pPr>
      <w:r>
        <w:t xml:space="preserve">embedding_model: string</w:t>
      </w:r>
    </w:p>
    <w:p>
      <w:pPr>
        <w:pStyle w:val="ListParagraph"/>
        <w:numPr>
          <w:ilvl w:val="0"/>
          <w:numId w:val="2"/>
        </w:numPr>
        <w:spacing w:after="60"/>
      </w:pPr>
      <w:r>
        <w:t xml:space="preserve">embedding_model_version: string -- for selective re-embedding on model update</w:t>
      </w:r>
    </w:p>
    <w:p>
      <w:pPr>
        <w:pStyle w:val="ListParagraph"/>
        <w:numPr>
          <w:ilvl w:val="0"/>
          <w:numId w:val="2"/>
        </w:numPr>
        <w:spacing w:after="60"/>
      </w:pPr>
      <w:r>
        <w:t xml:space="preserve">is_multimodal: boolean -- true if ColPali vectors also stored</w:t>
      </w:r>
    </w:p>
    <w:p>
      <w:pPr>
        <w:pStyle w:val="ListParagraph"/>
        <w:numPr>
          <w:ilvl w:val="0"/>
          <w:numId w:val="2"/>
        </w:numPr>
        <w:spacing w:after="60"/>
      </w:pPr>
      <w:r>
        <w:t xml:space="preserve">is_erasure_pending: boolean -- soft-delete flag for GDPR</w:t>
      </w:r>
    </w:p>
    <w:p/>
    <w:p>
      <w:pPr>
        <w:pStyle w:val="Heading2"/>
      </w:pPr>
      <w:r>
        <w:t xml:space="preserve">3.3 Embedding Model Version Tracking</w:t>
      </w:r>
    </w:p>
    <w:p>
      <w:r>
        <w:rPr>
          <w:rFonts w:ascii="Arial" w:cs="Arial" w:eastAsia="Arial" w:hAnsi="Arial"/>
          <w:sz w:val="20"/>
          <w:szCs w:val="20"/>
        </w:rPr>
        <w:t xml:space="preserve">When OpenAI updates text-embedding-3-small, existing corpus vectors become incompatible with new query vectors. Version tracking enables selective re-embedding without rebuilding the entire collection.</w:t>
      </w:r>
    </w:p>
    <w:p>
      <w:pPr>
        <w:pStyle w:val="ListParagraph"/>
        <w:numPr>
          <w:ilvl w:val="0"/>
          <w:numId w:val="2"/>
        </w:numPr>
        <w:spacing w:after="60"/>
      </w:pPr>
      <w:r>
        <w:t xml:space="preserve">Every corpus point stores embedding_model_version in payload</w:t>
      </w:r>
    </w:p>
    <w:p>
      <w:pPr>
        <w:pStyle w:val="ListParagraph"/>
        <w:numPr>
          <w:ilvl w:val="0"/>
          <w:numId w:val="2"/>
        </w:numPr>
        <w:spacing w:after="60"/>
      </w:pPr>
      <w:r>
        <w:t xml:space="preserve">On model update: create a background re-embedding job targeting points with old version</w:t>
      </w:r>
    </w:p>
    <w:p>
      <w:pPr>
        <w:pStyle w:val="ListParagraph"/>
        <w:numPr>
          <w:ilvl w:val="0"/>
          <w:numId w:val="2"/>
        </w:numPr>
        <w:spacing w:after="60"/>
      </w:pPr>
      <w:r>
        <w:t xml:space="preserve">Re-embed in batches of 1,000 -- update vector and version in Qdrant atomically</w:t>
      </w:r>
    </w:p>
    <w:p>
      <w:pPr>
        <w:pStyle w:val="ListParagraph"/>
        <w:numPr>
          <w:ilvl w:val="0"/>
          <w:numId w:val="2"/>
        </w:numPr>
        <w:spacing w:after="60"/>
      </w:pPr>
      <w:r>
        <w:t xml:space="preserve">Dual-version querying: during re-embedding, query against both old and new versions -- merge results</w:t>
      </w:r>
    </w:p>
    <w:p>
      <w:pPr>
        <w:pStyle w:val="ListParagraph"/>
        <w:numPr>
          <w:ilvl w:val="0"/>
          <w:numId w:val="2"/>
        </w:numPr>
        <w:spacing w:after="60"/>
      </w:pPr>
      <w:r>
        <w:t xml:space="preserve">Collection swap on completion: rename new collection to production, retain old for 7 days as fallback</w:t>
      </w:r>
    </w:p>
    <w:p>
      <w:pPr>
        <w:pStyle w:val="ListParagraph"/>
        <w:numPr>
          <w:ilvl w:val="0"/>
          <w:numId w:val="2"/>
        </w:numPr>
        <w:spacing w:after="60"/>
      </w:pPr>
      <w:r>
        <w:t xml:space="preserve">Version tracked in corpus_points Postgres table -- source of truth for re-embedding progress</w:t>
      </w:r>
    </w:p>
    <w:p/>
    <w:p>
      <w:pPr>
        <w:pStyle w:val="Heading2"/>
      </w:pPr>
      <w:r>
        <w:t xml:space="preserve">3.4 GraphRAG Graph Store</w:t>
      </w:r>
    </w:p>
    <w:p>
      <w:r>
        <w:rPr>
          <w:rFonts w:ascii="Arial" w:cs="Arial" w:eastAsia="Arial" w:hAnsi="Arial"/>
          <w:sz w:val="20"/>
          <w:szCs w:val="20"/>
        </w:rPr>
        <w:t xml:space="preserve">For complex supplier relationships and organisational hierarchies, graph-based retrieval augments flat vector retrieval. The graph store captures supplier knowledge that flat vector search cannot represent.</w:t>
      </w:r>
    </w:p>
    <w:p>
      <w:pPr>
        <w:pStyle w:val="ListParagraph"/>
        <w:numPr>
          <w:ilvl w:val="0"/>
          <w:numId w:val="2"/>
        </w:numPr>
        <w:spacing w:after="60"/>
      </w:pPr>
      <w:r>
        <w:t xml:space="preserve">Graph nodes: Vendor, Site, CostCentre, GLAccount, Entity</w:t>
      </w:r>
    </w:p>
    <w:p>
      <w:pPr>
        <w:pStyle w:val="ListParagraph"/>
        <w:numPr>
          <w:ilvl w:val="0"/>
          <w:numId w:val="2"/>
        </w:numPr>
        <w:spacing w:after="60"/>
      </w:pPr>
      <w:r>
        <w:t xml:space="preserve">Graph edges: INVOICES_TO (Vendor -&gt; GLAccount, with confidence and frequency), LOCATED_AT (Vendor -&gt; Site), MAPS_TO (Site -&gt; CostCentre)</w:t>
      </w:r>
    </w:p>
    <w:p>
      <w:pPr>
        <w:pStyle w:val="ListParagraph"/>
        <w:numPr>
          <w:ilvl w:val="0"/>
          <w:numId w:val="2"/>
        </w:numPr>
        <w:spacing w:after="60"/>
      </w:pPr>
      <w:r>
        <w:t xml:space="preserve">Graph queries: given a new vendor, find parent company and retrieve evidence from parent vendor history</w:t>
      </w:r>
    </w:p>
    <w:p>
      <w:pPr>
        <w:pStyle w:val="ListParagraph"/>
        <w:numPr>
          <w:ilvl w:val="0"/>
          <w:numId w:val="2"/>
        </w:numPr>
        <w:spacing w:after="60"/>
      </w:pPr>
      <w:r>
        <w:t xml:space="preserve">Graph queries: given a site, retrieve the standard cost centre mapping</w:t>
      </w:r>
    </w:p>
    <w:p>
      <w:pPr>
        <w:pStyle w:val="ListParagraph"/>
        <w:numPr>
          <w:ilvl w:val="0"/>
          <w:numId w:val="2"/>
        </w:numPr>
        <w:spacing w:after="60"/>
      </w:pPr>
      <w:r>
        <w:t xml:space="preserve">Graph construction: built from confirmed invoice corpus -- updated on every write-back</w:t>
      </w:r>
    </w:p>
    <w:p>
      <w:pPr>
        <w:pStyle w:val="ListParagraph"/>
        <w:numPr>
          <w:ilvl w:val="0"/>
          <w:numId w:val="2"/>
        </w:numPr>
        <w:spacing w:after="60"/>
      </w:pPr>
      <w:r>
        <w:t xml:space="preserve">Implementation: Neo4j for production (cloud-hosted, supports Cypher queries); NetworkX embedded for development</w:t>
      </w:r>
    </w:p>
    <w:p>
      <w:pPr>
        <w:pStyle w:val="ListParagraph"/>
        <w:numPr>
          <w:ilvl w:val="0"/>
          <w:numId w:val="2"/>
        </w:numPr>
        <w:spacing w:after="60"/>
      </w:pPr>
      <w:r>
        <w:t xml:space="preserve">GraphRAG retrieval: blend graph-retrieved evidence with vector-retrieved evidence using RRF</w:t>
      </w:r>
    </w:p>
    <w:p/>
    <w:p>
      <w:pPr>
        <w:pStyle w:val="Heading1"/>
      </w:pPr>
      <w:r>
        <w:t xml:space="preserve">4. GDPR Right to Erasure Pipeline</w:t>
      </w:r>
    </w:p>
    <w:p>
      <w:r>
        <w:rPr>
          <w:rFonts w:ascii="Arial" w:cs="Arial" w:eastAsia="Arial" w:hAnsi="Arial"/>
          <w:sz w:val="20"/>
          <w:szCs w:val="20"/>
        </w:rPr>
        <w:t xml:space="preserve">A finance system handling supplier data must support GDPR right to erasure requests. The erasure pipeline removes or anonymises all identifiable data for a vendor or specific invoice across all stores.</w:t>
      </w:r>
    </w:p>
    <w:p/>
    <w:p>
      <w:pPr>
        <w:pStyle w:val="Heading2"/>
      </w:pPr>
      <w:r>
        <w:t xml:space="preserve">4.1 Erasure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shd w:color="E2E8F0" w:val="clear"/>
          </w:tcPr>
          <w:p>
            <w:r>
              <w:rPr>
                <w:rFonts w:ascii="Arial" w:cs="Arial" w:eastAsia="Arial" w:hAnsi="Arial"/>
                <w:b/>
                <w:bCs/>
                <w:sz w:val="18"/>
                <w:szCs w:val="18"/>
              </w:rPr>
              <w:t xml:space="preserve">Store</w:t>
            </w:r>
          </w:p>
        </w:tc>
        <w:tc>
          <w:tcPr>
            <w:tcW w:type="dxa" w:w="3500"/>
            <w:shd w:color="E2E8F0" w:val="clear"/>
          </w:tcPr>
          <w:p>
            <w:r>
              <w:rPr>
                <w:rFonts w:ascii="Arial" w:cs="Arial" w:eastAsia="Arial" w:hAnsi="Arial"/>
                <w:b/>
                <w:bCs/>
                <w:sz w:val="18"/>
                <w:szCs w:val="18"/>
              </w:rPr>
              <w:t xml:space="preserve">Action</w:t>
            </w:r>
          </w:p>
        </w:tc>
        <w:tc>
          <w:tcPr>
            <w:tcW w:type="dxa" w:w="3360"/>
            <w:shd w:color="E2E8F0" w:val="clear"/>
          </w:tcPr>
          <w:p>
            <w:r>
              <w:rPr>
                <w:rFonts w:ascii="Arial" w:cs="Arial" w:eastAsia="Arial" w:hAnsi="Arial"/>
                <w:b/>
                <w:bCs/>
                <w:sz w:val="18"/>
                <w:szCs w:val="18"/>
              </w:rPr>
              <w:t xml:space="preserve">Notes</w:t>
            </w:r>
          </w:p>
        </w:tc>
      </w:tr>
      <w:tr>
        <w:tc>
          <w:p>
            <w:r>
              <w:rPr>
                <w:rFonts w:ascii="Arial" w:cs="Arial" w:eastAsia="Arial" w:hAnsi="Arial"/>
                <w:b w:val="false"/>
                <w:bCs w:val="false"/>
                <w:sz w:val="18"/>
                <w:szCs w:val="18"/>
              </w:rPr>
              <w:t xml:space="preserve">Qdrant corpus</w:t>
            </w:r>
          </w:p>
        </w:tc>
        <w:tc>
          <w:p>
            <w:r>
              <w:rPr>
                <w:rFonts w:ascii="Arial" w:cs="Arial" w:eastAsia="Arial" w:hAnsi="Arial"/>
                <w:b w:val="false"/>
                <w:bCs w:val="false"/>
                <w:sz w:val="18"/>
                <w:szCs w:val="18"/>
              </w:rPr>
              <w:t xml:space="preserve">Hard delete points where vendor_id matches</w:t>
            </w:r>
          </w:p>
        </w:tc>
        <w:tc>
          <w:p>
            <w:r>
              <w:rPr>
                <w:rFonts w:ascii="Arial" w:cs="Arial" w:eastAsia="Arial" w:hAnsi="Arial"/>
                <w:b w:val="false"/>
                <w:bCs w:val="false"/>
                <w:sz w:val="18"/>
                <w:szCs w:val="18"/>
              </w:rPr>
              <w:t xml:space="preserve">Permanent -- cannot be recovered</w:t>
            </w:r>
          </w:p>
        </w:tc>
      </w:tr>
      <w:tr>
        <w:tc>
          <w:p>
            <w:r>
              <w:rPr>
                <w:rFonts w:ascii="Arial" w:cs="Arial" w:eastAsia="Arial" w:hAnsi="Arial"/>
                <w:b w:val="false"/>
                <w:bCs w:val="false"/>
                <w:sz w:val="18"/>
                <w:szCs w:val="18"/>
              </w:rPr>
              <w:t xml:space="preserve">Postgres corpus_points</w:t>
            </w:r>
          </w:p>
        </w:tc>
        <w:tc>
          <w:p>
            <w:r>
              <w:rPr>
                <w:rFonts w:ascii="Arial" w:cs="Arial" w:eastAsia="Arial" w:hAnsi="Arial"/>
                <w:b w:val="false"/>
                <w:bCs w:val="false"/>
                <w:sz w:val="18"/>
                <w:szCs w:val="18"/>
              </w:rPr>
              <w:t xml:space="preserve">Hard delete rows</w:t>
            </w:r>
          </w:p>
        </w:tc>
        <w:tc>
          <w:p>
            <w:r>
              <w:rPr>
                <w:rFonts w:ascii="Arial" w:cs="Arial" w:eastAsia="Arial" w:hAnsi="Arial"/>
                <w:b w:val="false"/>
                <w:bCs w:val="false"/>
                <w:sz w:val="18"/>
                <w:szCs w:val="18"/>
              </w:rPr>
              <w:t xml:space="preserve">Cascades to any dependent records</w:t>
            </w:r>
          </w:p>
        </w:tc>
      </w:tr>
      <w:tr>
        <w:tc>
          <w:p>
            <w:r>
              <w:rPr>
                <w:rFonts w:ascii="Arial" w:cs="Arial" w:eastAsia="Arial" w:hAnsi="Arial"/>
                <w:b w:val="false"/>
                <w:bCs w:val="false"/>
                <w:sz w:val="18"/>
                <w:szCs w:val="18"/>
              </w:rPr>
              <w:t xml:space="preserve">Postgres invoices</w:t>
            </w:r>
          </w:p>
        </w:tc>
        <w:tc>
          <w:p>
            <w:r>
              <w:rPr>
                <w:rFonts w:ascii="Arial" w:cs="Arial" w:eastAsia="Arial" w:hAnsi="Arial"/>
                <w:b w:val="false"/>
                <w:bCs w:val="false"/>
                <w:sz w:val="18"/>
                <w:szCs w:val="18"/>
              </w:rPr>
              <w:t xml:space="preserve">Anonymise: vendor name -&gt; [ERASED], description -&gt; [ERASED]</w:t>
            </w:r>
          </w:p>
        </w:tc>
        <w:tc>
          <w:p>
            <w:r>
              <w:rPr>
                <w:rFonts w:ascii="Arial" w:cs="Arial" w:eastAsia="Arial" w:hAnsi="Arial"/>
                <w:b w:val="false"/>
                <w:bCs w:val="false"/>
                <w:sz w:val="18"/>
                <w:szCs w:val="18"/>
              </w:rPr>
              <w:t xml:space="preserve">Retain GL code and amount for financial reporting</w:t>
            </w:r>
          </w:p>
        </w:tc>
      </w:tr>
      <w:tr>
        <w:tc>
          <w:p>
            <w:r>
              <w:rPr>
                <w:rFonts w:ascii="Arial" w:cs="Arial" w:eastAsia="Arial" w:hAnsi="Arial"/>
                <w:b w:val="false"/>
                <w:bCs w:val="false"/>
                <w:sz w:val="18"/>
                <w:szCs w:val="18"/>
              </w:rPr>
              <w:t xml:space="preserve">Postgres audit_log</w:t>
            </w:r>
          </w:p>
        </w:tc>
        <w:tc>
          <w:p>
            <w:r>
              <w:rPr>
                <w:rFonts w:ascii="Arial" w:cs="Arial" w:eastAsia="Arial" w:hAnsi="Arial"/>
                <w:b w:val="false"/>
                <w:bCs w:val="false"/>
                <w:sz w:val="18"/>
                <w:szCs w:val="18"/>
              </w:rPr>
              <w:t xml:space="preserve">Anonymise vendor name fields only -- do not delete rows</w:t>
            </w:r>
          </w:p>
        </w:tc>
        <w:tc>
          <w:p>
            <w:r>
              <w:rPr>
                <w:rFonts w:ascii="Arial" w:cs="Arial" w:eastAsia="Arial" w:hAnsi="Arial"/>
                <w:b w:val="false"/>
                <w:bCs w:val="false"/>
                <w:sz w:val="18"/>
                <w:szCs w:val="18"/>
              </w:rPr>
              <w:t xml:space="preserve">Audit log must be preserved for regulatory compliance</w:t>
            </w:r>
          </w:p>
        </w:tc>
      </w:tr>
      <w:tr>
        <w:tc>
          <w:p>
            <w:r>
              <w:rPr>
                <w:rFonts w:ascii="Arial" w:cs="Arial" w:eastAsia="Arial" w:hAnsi="Arial"/>
                <w:b w:val="false"/>
                <w:bCs w:val="false"/>
                <w:sz w:val="18"/>
                <w:szCs w:val="18"/>
              </w:rPr>
              <w:t xml:space="preserve">Redis embeddings cache</w:t>
            </w:r>
          </w:p>
        </w:tc>
        <w:tc>
          <w:p>
            <w:r>
              <w:rPr>
                <w:rFonts w:ascii="Arial" w:cs="Arial" w:eastAsia="Arial" w:hAnsi="Arial"/>
                <w:b w:val="false"/>
                <w:bCs w:val="false"/>
                <w:sz w:val="18"/>
                <w:szCs w:val="18"/>
              </w:rPr>
              <w:t xml:space="preserve">Invalidate all cache keys for vendor</w:t>
            </w:r>
          </w:p>
        </w:tc>
        <w:tc>
          <w:p>
            <w:r>
              <w:rPr>
                <w:rFonts w:ascii="Arial" w:cs="Arial" w:eastAsia="Arial" w:hAnsi="Arial"/>
                <w:b w:val="false"/>
                <w:bCs w:val="false"/>
                <w:sz w:val="18"/>
                <w:szCs w:val="18"/>
              </w:rPr>
              <w:t xml:space="preserve">TTL-based -- keys expire within 24h anyway</w:t>
            </w:r>
          </w:p>
        </w:tc>
      </w:tr>
      <w:tr>
        <w:tc>
          <w:p>
            <w:r>
              <w:rPr>
                <w:rFonts w:ascii="Arial" w:cs="Arial" w:eastAsia="Arial" w:hAnsi="Arial"/>
                <w:b w:val="false"/>
                <w:bCs w:val="false"/>
                <w:sz w:val="18"/>
                <w:szCs w:val="18"/>
              </w:rPr>
              <w:t xml:space="preserve">S3 invoice PDFs/images</w:t>
            </w:r>
          </w:p>
        </w:tc>
        <w:tc>
          <w:p>
            <w:r>
              <w:rPr>
                <w:rFonts w:ascii="Arial" w:cs="Arial" w:eastAsia="Arial" w:hAnsi="Arial"/>
                <w:b w:val="false"/>
                <w:bCs w:val="false"/>
                <w:sz w:val="18"/>
                <w:szCs w:val="18"/>
              </w:rPr>
              <w:t xml:space="preserve">Delete objects where invoice_id matches</w:t>
            </w:r>
          </w:p>
        </w:tc>
        <w:tc>
          <w:p>
            <w:r>
              <w:rPr>
                <w:rFonts w:ascii="Arial" w:cs="Arial" w:eastAsia="Arial" w:hAnsi="Arial"/>
                <w:b w:val="false"/>
                <w:bCs w:val="false"/>
                <w:sz w:val="18"/>
                <w:szCs w:val="18"/>
              </w:rPr>
              <w:t xml:space="preserve">Permanent -- lifecycle policy applied</w:t>
            </w:r>
          </w:p>
        </w:tc>
      </w:tr>
      <w:tr>
        <w:tc>
          <w:p>
            <w:r>
              <w:rPr>
                <w:rFonts w:ascii="Arial" w:cs="Arial" w:eastAsia="Arial" w:hAnsi="Arial"/>
                <w:b w:val="false"/>
                <w:bCs w:val="false"/>
                <w:sz w:val="18"/>
                <w:szCs w:val="18"/>
              </w:rPr>
              <w:t xml:space="preserve">Langfuse traces</w:t>
            </w:r>
          </w:p>
        </w:tc>
        <w:tc>
          <w:p>
            <w:r>
              <w:rPr>
                <w:rFonts w:ascii="Arial" w:cs="Arial" w:eastAsia="Arial" w:hAnsi="Arial"/>
                <w:b w:val="false"/>
                <w:bCs w:val="false"/>
                <w:sz w:val="18"/>
                <w:szCs w:val="18"/>
              </w:rPr>
              <w:t xml:space="preserve">Delete traces where vendor metadata matches</w:t>
            </w:r>
          </w:p>
        </w:tc>
        <w:tc>
          <w:p>
            <w:r>
              <w:rPr>
                <w:rFonts w:ascii="Arial" w:cs="Arial" w:eastAsia="Arial" w:hAnsi="Arial"/>
                <w:b w:val="false"/>
                <w:bCs w:val="false"/>
                <w:sz w:val="18"/>
                <w:szCs w:val="18"/>
              </w:rPr>
              <w:t xml:space="preserve">Via Langfuse API -- 90 day retention policy</w:t>
            </w:r>
          </w:p>
        </w:tc>
      </w:tr>
      <w:tr>
        <w:tc>
          <w:p>
            <w:r>
              <w:rPr>
                <w:rFonts w:ascii="Arial" w:cs="Arial" w:eastAsia="Arial" w:hAnsi="Arial"/>
                <w:b w:val="false"/>
                <w:bCs w:val="false"/>
                <w:sz w:val="18"/>
                <w:szCs w:val="18"/>
              </w:rPr>
              <w:t xml:space="preserve">Graph store</w:t>
            </w:r>
          </w:p>
        </w:tc>
        <w:tc>
          <w:p>
            <w:r>
              <w:rPr>
                <w:rFonts w:ascii="Arial" w:cs="Arial" w:eastAsia="Arial" w:hAnsi="Arial"/>
                <w:b w:val="false"/>
                <w:bCs w:val="false"/>
                <w:sz w:val="18"/>
                <w:szCs w:val="18"/>
              </w:rPr>
              <w:t xml:space="preserve">Remove vendor node and all edges</w:t>
            </w:r>
          </w:p>
        </w:tc>
        <w:tc>
          <w:p>
            <w:r>
              <w:rPr>
                <w:rFonts w:ascii="Arial" w:cs="Arial" w:eastAsia="Arial" w:hAnsi="Arial"/>
                <w:b w:val="false"/>
                <w:bCs w:val="false"/>
                <w:sz w:val="18"/>
                <w:szCs w:val="18"/>
              </w:rPr>
              <w:t xml:space="preserve">Re-compute affected neighbour confidence scores</w:t>
            </w:r>
          </w:p>
        </w:tc>
      </w:tr>
    </w:tbl>
    <w:p/>
    <w:p>
      <w:pPr>
        <w:pStyle w:val="Heading2"/>
      </w:pPr>
      <w:r>
        <w:t xml:space="preserve">4.2 Erasure Pipeline</w:t>
      </w:r>
    </w:p>
    <w:p>
      <w:pPr>
        <w:pStyle w:val="ListParagraph"/>
        <w:numPr>
          <w:ilvl w:val="0"/>
          <w:numId w:val="2"/>
        </w:numPr>
        <w:spacing w:after="60"/>
      </w:pPr>
      <w:r>
        <w:t xml:space="preserve">Erasure request submitted via POST /api/v1/admin/erasure -- creates erasure_requests record</w:t>
      </w:r>
    </w:p>
    <w:p>
      <w:pPr>
        <w:pStyle w:val="ListParagraph"/>
        <w:numPr>
          <w:ilvl w:val="0"/>
          <w:numId w:val="2"/>
        </w:numPr>
        <w:spacing w:after="60"/>
      </w:pPr>
      <w:r>
        <w:t xml:space="preserve">Erasure service account picks up pending request from Celery queue</w:t>
      </w:r>
    </w:p>
    <w:p>
      <w:pPr>
        <w:pStyle w:val="ListParagraph"/>
        <w:numPr>
          <w:ilvl w:val="0"/>
          <w:numId w:val="2"/>
        </w:numPr>
        <w:spacing w:after="60"/>
      </w:pPr>
      <w:r>
        <w:t xml:space="preserve">Step 1: Set is_erasure_pending = TRUE on all corpus_points for vendor -- soft delete</w:t>
      </w:r>
    </w:p>
    <w:p>
      <w:pPr>
        <w:pStyle w:val="ListParagraph"/>
        <w:numPr>
          <w:ilvl w:val="0"/>
          <w:numId w:val="2"/>
        </w:numPr>
        <w:spacing w:after="60"/>
      </w:pPr>
      <w:r>
        <w:t xml:space="preserve">Step 2: Delete Qdrant points matching vendor_id -- permanent</w:t>
      </w:r>
    </w:p>
    <w:p>
      <w:pPr>
        <w:pStyle w:val="ListParagraph"/>
        <w:numPr>
          <w:ilvl w:val="0"/>
          <w:numId w:val="2"/>
        </w:numPr>
        <w:spacing w:after="60"/>
      </w:pPr>
      <w:r>
        <w:t xml:space="preserve">Step 3: Anonymise Postgres invoices table -- replace vendor name and description with [ERASED]</w:t>
      </w:r>
    </w:p>
    <w:p>
      <w:pPr>
        <w:pStyle w:val="ListParagraph"/>
        <w:numPr>
          <w:ilvl w:val="0"/>
          <w:numId w:val="2"/>
        </w:numPr>
        <w:spacing w:after="60"/>
      </w:pPr>
      <w:r>
        <w:t xml:space="preserve">Step 4: Anonymise audit_log vendor name fields only</w:t>
      </w:r>
    </w:p>
    <w:p>
      <w:pPr>
        <w:pStyle w:val="ListParagraph"/>
        <w:numPr>
          <w:ilvl w:val="0"/>
          <w:numId w:val="2"/>
        </w:numPr>
        <w:spacing w:after="60"/>
      </w:pPr>
      <w:r>
        <w:t xml:space="preserve">Step 5: Invalidate Redis cache keys for vendor</w:t>
      </w:r>
    </w:p>
    <w:p>
      <w:pPr>
        <w:pStyle w:val="ListParagraph"/>
        <w:numPr>
          <w:ilvl w:val="0"/>
          <w:numId w:val="2"/>
        </w:numPr>
        <w:spacing w:after="60"/>
      </w:pPr>
      <w:r>
        <w:t xml:space="preserve">Step 6: Delete S3 PDF/image objects for affected invoices</w:t>
      </w:r>
    </w:p>
    <w:p>
      <w:pPr>
        <w:pStyle w:val="ListParagraph"/>
        <w:numPr>
          <w:ilvl w:val="0"/>
          <w:numId w:val="2"/>
        </w:numPr>
        <w:spacing w:after="60"/>
      </w:pPr>
      <w:r>
        <w:t xml:space="preserve">Step 7: Remove vendor node from graph store</w:t>
      </w:r>
    </w:p>
    <w:p>
      <w:pPr>
        <w:pStyle w:val="ListParagraph"/>
        <w:numPr>
          <w:ilvl w:val="0"/>
          <w:numId w:val="2"/>
        </w:numPr>
        <w:spacing w:after="60"/>
      </w:pPr>
      <w:r>
        <w:t xml:space="preserve">Step 8: Hard delete corpus_points rows from Postgres</w:t>
      </w:r>
    </w:p>
    <w:p>
      <w:pPr>
        <w:pStyle w:val="ListParagraph"/>
        <w:numPr>
          <w:ilvl w:val="0"/>
          <w:numId w:val="2"/>
        </w:numPr>
        <w:spacing w:after="60"/>
      </w:pPr>
      <w:r>
        <w:t xml:space="preserve">Step 9: Update erasure_requests record with completion counts and timestamp</w:t>
      </w:r>
    </w:p>
    <w:p>
      <w:pPr>
        <w:pStyle w:val="ListParagraph"/>
        <w:numPr>
          <w:ilvl w:val="0"/>
          <w:numId w:val="2"/>
        </w:numPr>
        <w:spacing w:after="60"/>
      </w:pPr>
      <w:r>
        <w:t xml:space="preserve">Step 10: Notify AP Manager via email -- erasure complete, counts of affected records</w:t>
      </w:r>
    </w:p>
    <w:p>
      <w:pPr>
        <w:pStyle w:val="ListParagraph"/>
        <w:numPr>
          <w:ilvl w:val="0"/>
          <w:numId w:val="2"/>
        </w:numPr>
        <w:spacing w:after="60"/>
      </w:pPr>
      <w:r>
        <w:t xml:space="preserve">Erasure SLA: complete within 30 days of request (GDPR requirement) -- target 48 hours</w:t>
      </w:r>
    </w:p>
    <w:p/>
    <w:p>
      <w:pPr>
        <w:pStyle w:val="Heading1"/>
      </w:pPr>
      <w:r>
        <w:t xml:space="preserve">5. Redis Caching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4660"/>
      </w:tblGrid>
      <w:tr>
        <w:trPr>
          <w:tblHeader/>
        </w:trPr>
        <w:tc>
          <w:tcPr>
            <w:tcW w:type="dxa" w:w="3500"/>
            <w:shd w:color="E2E8F0" w:val="clear"/>
          </w:tcPr>
          <w:p>
            <w:r>
              <w:rPr>
                <w:rFonts w:ascii="Arial" w:cs="Arial" w:eastAsia="Arial" w:hAnsi="Arial"/>
                <w:b/>
                <w:bCs/>
                <w:sz w:val="18"/>
                <w:szCs w:val="18"/>
              </w:rPr>
              <w:t xml:space="preserve">Cache key pattern</w:t>
            </w:r>
          </w:p>
        </w:tc>
        <w:tc>
          <w:tcPr>
            <w:tcW w:type="dxa" w:w="1200"/>
            <w:shd w:color="E2E8F0" w:val="clear"/>
          </w:tcPr>
          <w:p>
            <w:r>
              <w:rPr>
                <w:rFonts w:ascii="Arial" w:cs="Arial" w:eastAsia="Arial" w:hAnsi="Arial"/>
                <w:b/>
                <w:bCs/>
                <w:sz w:val="18"/>
                <w:szCs w:val="18"/>
              </w:rPr>
              <w:t xml:space="preserve">TTL</w:t>
            </w:r>
          </w:p>
        </w:tc>
        <w:tc>
          <w:tcPr>
            <w:tcW w:type="dxa" w:w="4660"/>
            <w:shd w:color="E2E8F0" w:val="clear"/>
          </w:tcPr>
          <w:p>
            <w:r>
              <w:rPr>
                <w:rFonts w:ascii="Arial" w:cs="Arial" w:eastAsia="Arial" w:hAnsi="Arial"/>
                <w:b/>
                <w:bCs/>
                <w:sz w:val="18"/>
                <w:szCs w:val="18"/>
              </w:rPr>
              <w:t xml:space="preserve">Invalidation trigger</w:t>
            </w:r>
          </w:p>
        </w:tc>
      </w:tr>
      <w:tr>
        <w:tc>
          <w:p>
            <w:r>
              <w:rPr>
                <w:rFonts w:ascii="Arial" w:cs="Arial" w:eastAsia="Arial" w:hAnsi="Arial"/>
                <w:b w:val="false"/>
                <w:bCs w:val="false"/>
                <w:sz w:val="18"/>
                <w:szCs w:val="18"/>
              </w:rPr>
              <w:t xml:space="preserve">{tenant}:vendor:{raw_name}</w:t>
            </w:r>
          </w:p>
        </w:tc>
        <w:tc>
          <w:p>
            <w:r>
              <w:rPr>
                <w:rFonts w:ascii="Arial" w:cs="Arial" w:eastAsia="Arial" w:hAnsi="Arial"/>
                <w:b w:val="false"/>
                <w:bCs w:val="false"/>
                <w:sz w:val="18"/>
                <w:szCs w:val="18"/>
              </w:rPr>
              <w:t xml:space="preserve">1h</w:t>
            </w:r>
          </w:p>
        </w:tc>
        <w:tc>
          <w:p>
            <w:r>
              <w:rPr>
                <w:rFonts w:ascii="Arial" w:cs="Arial" w:eastAsia="Arial" w:hAnsi="Arial"/>
                <w:b w:val="false"/>
                <w:bCs w:val="false"/>
                <w:sz w:val="18"/>
                <w:szCs w:val="18"/>
              </w:rPr>
              <w:t xml:space="preserve">Vendor map update or erasure request</w:t>
            </w:r>
          </w:p>
        </w:tc>
      </w:tr>
      <w:tr>
        <w:tc>
          <w:p>
            <w:r>
              <w:rPr>
                <w:rFonts w:ascii="Arial" w:cs="Arial" w:eastAsia="Arial" w:hAnsi="Arial"/>
                <w:b w:val="false"/>
                <w:bCs w:val="false"/>
                <w:sz w:val="18"/>
                <w:szCs w:val="18"/>
              </w:rPr>
              <w:t xml:space="preserve">{tenant}:embedding:{description_hash}:{model_version}</w:t>
            </w:r>
          </w:p>
        </w:tc>
        <w:tc>
          <w:p>
            <w:r>
              <w:rPr>
                <w:rFonts w:ascii="Arial" w:cs="Arial" w:eastAsia="Arial" w:hAnsi="Arial"/>
                <w:b w:val="false"/>
                <w:bCs w:val="false"/>
                <w:sz w:val="18"/>
                <w:szCs w:val="18"/>
              </w:rPr>
              <w:t xml:space="preserve">24h</w:t>
            </w:r>
          </w:p>
        </w:tc>
        <w:tc>
          <w:p>
            <w:r>
              <w:rPr>
                <w:rFonts w:ascii="Arial" w:cs="Arial" w:eastAsia="Arial" w:hAnsi="Arial"/>
                <w:b w:val="false"/>
                <w:bCs w:val="false"/>
                <w:sz w:val="18"/>
                <w:szCs w:val="18"/>
              </w:rPr>
              <w:t xml:space="preserve">Embedding model version change or erasure</w:t>
            </w:r>
          </w:p>
        </w:tc>
      </w:tr>
      <w:tr>
        <w:tc>
          <w:p>
            <w:r>
              <w:rPr>
                <w:rFonts w:ascii="Arial" w:cs="Arial" w:eastAsia="Arial" w:hAnsi="Arial"/>
                <w:b w:val="false"/>
                <w:bCs w:val="false"/>
                <w:sz w:val="18"/>
                <w:szCs w:val="18"/>
              </w:rPr>
              <w:t xml:space="preserve">{tenant}:coa:{gl_code}</w:t>
            </w:r>
          </w:p>
        </w:tc>
        <w:tc>
          <w:p>
            <w:r>
              <w:rPr>
                <w:rFonts w:ascii="Arial" w:cs="Arial" w:eastAsia="Arial" w:hAnsi="Arial"/>
                <w:b w:val="false"/>
                <w:bCs w:val="false"/>
                <w:sz w:val="18"/>
                <w:szCs w:val="18"/>
              </w:rPr>
              <w:t xml:space="preserve">1h</w:t>
            </w:r>
          </w:p>
        </w:tc>
        <w:tc>
          <w:p>
            <w:r>
              <w:rPr>
                <w:rFonts w:ascii="Arial" w:cs="Arial" w:eastAsia="Arial" w:hAnsi="Arial"/>
                <w:b w:val="false"/>
                <w:bCs w:val="false"/>
                <w:sz w:val="18"/>
                <w:szCs w:val="18"/>
              </w:rPr>
              <w:t xml:space="preserve">Chart of accounts sync</w:t>
            </w:r>
          </w:p>
        </w:tc>
      </w:tr>
      <w:tr>
        <w:tc>
          <w:p>
            <w:r>
              <w:rPr>
                <w:rFonts w:ascii="Arial" w:cs="Arial" w:eastAsia="Arial" w:hAnsi="Arial"/>
                <w:b w:val="false"/>
                <w:bCs w:val="false"/>
                <w:sz w:val="18"/>
                <w:szCs w:val="18"/>
              </w:rPr>
              <w:t xml:space="preserve">{tenant}:metrics:{period}</w:t>
            </w:r>
          </w:p>
        </w:tc>
        <w:tc>
          <w:p>
            <w:r>
              <w:rPr>
                <w:rFonts w:ascii="Arial" w:cs="Arial" w:eastAsia="Arial" w:hAnsi="Arial"/>
                <w:b w:val="false"/>
                <w:bCs w:val="false"/>
                <w:sz w:val="18"/>
                <w:szCs w:val="18"/>
              </w:rPr>
              <w:t xml:space="preserve">5min</w:t>
            </w:r>
          </w:p>
        </w:tc>
        <w:tc>
          <w:p>
            <w:r>
              <w:rPr>
                <w:rFonts w:ascii="Arial" w:cs="Arial" w:eastAsia="Arial" w:hAnsi="Arial"/>
                <w:b w:val="false"/>
                <w:bCs w:val="false"/>
                <w:sz w:val="18"/>
                <w:szCs w:val="18"/>
              </w:rPr>
              <w:t xml:space="preserve">On new batch completion</w:t>
            </w:r>
          </w:p>
        </w:tc>
      </w:tr>
      <w:tr>
        <w:tc>
          <w:p>
            <w:r>
              <w:rPr>
                <w:rFonts w:ascii="Arial" w:cs="Arial" w:eastAsia="Arial" w:hAnsi="Arial"/>
                <w:b w:val="false"/>
                <w:bCs w:val="false"/>
                <w:sz w:val="18"/>
                <w:szCs w:val="18"/>
              </w:rPr>
              <w:t xml:space="preserve">{tenant}:corpus:stats</w:t>
            </w:r>
          </w:p>
        </w:tc>
        <w:tc>
          <w:p>
            <w:r>
              <w:rPr>
                <w:rFonts w:ascii="Arial" w:cs="Arial" w:eastAsia="Arial" w:hAnsi="Arial"/>
                <w:b w:val="false"/>
                <w:bCs w:val="false"/>
                <w:sz w:val="18"/>
                <w:szCs w:val="18"/>
              </w:rPr>
              <w:t xml:space="preserve">10min</w:t>
            </w:r>
          </w:p>
        </w:tc>
        <w:tc>
          <w:p>
            <w:r>
              <w:rPr>
                <w:rFonts w:ascii="Arial" w:cs="Arial" w:eastAsia="Arial" w:hAnsi="Arial"/>
                <w:b w:val="false"/>
                <w:bCs w:val="false"/>
                <w:sz w:val="18"/>
                <w:szCs w:val="18"/>
              </w:rPr>
              <w:t xml:space="preserve">On corpus write-back</w:t>
            </w:r>
          </w:p>
        </w:tc>
      </w:tr>
      <w:tr>
        <w:tc>
          <w:p>
            <w:r>
              <w:rPr>
                <w:rFonts w:ascii="Arial" w:cs="Arial" w:eastAsia="Arial" w:hAnsi="Arial"/>
                <w:b w:val="false"/>
                <w:bCs w:val="false"/>
                <w:sz w:val="18"/>
                <w:szCs w:val="18"/>
              </w:rPr>
              <w:t xml:space="preserve">{tenant}:rules:active</w:t>
            </w:r>
          </w:p>
        </w:tc>
        <w:tc>
          <w:p>
            <w:r>
              <w:rPr>
                <w:rFonts w:ascii="Arial" w:cs="Arial" w:eastAsia="Arial" w:hAnsi="Arial"/>
                <w:b w:val="false"/>
                <w:bCs w:val="false"/>
                <w:sz w:val="18"/>
                <w:szCs w:val="18"/>
              </w:rPr>
              <w:t xml:space="preserve">1min</w:t>
            </w:r>
          </w:p>
        </w:tc>
        <w:tc>
          <w:p>
            <w:r>
              <w:rPr>
                <w:rFonts w:ascii="Arial" w:cs="Arial" w:eastAsia="Arial" w:hAnsi="Arial"/>
                <w:b w:val="false"/>
                <w:bCs w:val="false"/>
                <w:sz w:val="18"/>
                <w:szCs w:val="18"/>
              </w:rPr>
              <w:t xml:space="preserve">On rule submit/revoke</w:t>
            </w:r>
          </w:p>
        </w:tc>
      </w:tr>
      <w:tr>
        <w:tc>
          <w:p>
            <w:r>
              <w:rPr>
                <w:rFonts w:ascii="Arial" w:cs="Arial" w:eastAsia="Arial" w:hAnsi="Arial"/>
                <w:b w:val="false"/>
                <w:bCs w:val="false"/>
                <w:sz w:val="18"/>
                <w:szCs w:val="18"/>
              </w:rPr>
              <w:t xml:space="preserve">{tenant}:graph:{vendor_id}</w:t>
            </w:r>
          </w:p>
        </w:tc>
        <w:tc>
          <w:p>
            <w:r>
              <w:rPr>
                <w:rFonts w:ascii="Arial" w:cs="Arial" w:eastAsia="Arial" w:hAnsi="Arial"/>
                <w:b w:val="false"/>
                <w:bCs w:val="false"/>
                <w:sz w:val="18"/>
                <w:szCs w:val="18"/>
              </w:rPr>
              <w:t xml:space="preserve">30min</w:t>
            </w:r>
          </w:p>
        </w:tc>
        <w:tc>
          <w:p>
            <w:r>
              <w:rPr>
                <w:rFonts w:ascii="Arial" w:cs="Arial" w:eastAsia="Arial" w:hAnsi="Arial"/>
                <w:b w:val="false"/>
                <w:bCs w:val="false"/>
                <w:sz w:val="18"/>
                <w:szCs w:val="18"/>
              </w:rPr>
              <w:t xml:space="preserve">On graph update or erasure</w:t>
            </w:r>
          </w:p>
        </w:tc>
      </w:tr>
      <w:tr>
        <w:tc>
          <w:p>
            <w:r>
              <w:rPr>
                <w:rFonts w:ascii="Arial" w:cs="Arial" w:eastAsia="Arial" w:hAnsi="Arial"/>
                <w:b w:val="false"/>
                <w:bCs w:val="false"/>
                <w:sz w:val="18"/>
                <w:szCs w:val="18"/>
              </w:rPr>
              <w:t xml:space="preserve">rate:{tenant}:{endpoint}</w:t>
            </w:r>
          </w:p>
        </w:tc>
        <w:tc>
          <w:p>
            <w:r>
              <w:rPr>
                <w:rFonts w:ascii="Arial" w:cs="Arial" w:eastAsia="Arial" w:hAnsi="Arial"/>
                <w:b w:val="false"/>
                <w:bCs w:val="false"/>
                <w:sz w:val="18"/>
                <w:szCs w:val="18"/>
              </w:rPr>
              <w:t xml:space="preserve">60s</w:t>
            </w:r>
          </w:p>
        </w:tc>
        <w:tc>
          <w:p>
            <w:r>
              <w:rPr>
                <w:rFonts w:ascii="Arial" w:cs="Arial" w:eastAsia="Arial" w:hAnsi="Arial"/>
                <w:b w:val="false"/>
                <w:bCs w:val="false"/>
                <w:sz w:val="18"/>
                <w:szCs w:val="18"/>
              </w:rPr>
              <w:t xml:space="preserve">Rolling window</w:t>
            </w:r>
          </w:p>
        </w:tc>
      </w:tr>
      <w:tr>
        <w:tc>
          <w:p>
            <w:r>
              <w:rPr>
                <w:rFonts w:ascii="Arial" w:cs="Arial" w:eastAsia="Arial" w:hAnsi="Arial"/>
                <w:b w:val="false"/>
                <w:bCs w:val="false"/>
                <w:sz w:val="18"/>
                <w:szCs w:val="18"/>
              </w:rPr>
              <w:t xml:space="preserve">idempotency:{tenant}:{invoice_hash}</w:t>
            </w:r>
          </w:p>
        </w:tc>
        <w:tc>
          <w:p>
            <w:r>
              <w:rPr>
                <w:rFonts w:ascii="Arial" w:cs="Arial" w:eastAsia="Arial" w:hAnsi="Arial"/>
                <w:b w:val="false"/>
                <w:bCs w:val="false"/>
                <w:sz w:val="18"/>
                <w:szCs w:val="18"/>
              </w:rPr>
              <w:t xml:space="preserve">48h</w:t>
            </w:r>
          </w:p>
        </w:tc>
        <w:tc>
          <w:p>
            <w:r>
              <w:rPr>
                <w:rFonts w:ascii="Arial" w:cs="Arial" w:eastAsia="Arial" w:hAnsi="Arial"/>
                <w:b w:val="false"/>
                <w:bCs w:val="false"/>
                <w:sz w:val="18"/>
                <w:szCs w:val="18"/>
              </w:rPr>
              <w:t xml:space="preserve">On ERP posting confirmation</w:t>
            </w:r>
          </w:p>
        </w:tc>
      </w:tr>
    </w:tbl>
    <w:p/>
    <w:p>
      <w:pPr>
        <w:pStyle w:val="Heading1"/>
      </w:pPr>
      <w:r>
        <w:t xml:space="preserve">6. Schema Migrations</w:t>
      </w:r>
    </w:p>
    <w:p>
      <w:pPr>
        <w:pStyle w:val="ListParagraph"/>
        <w:numPr>
          <w:ilvl w:val="0"/>
          <w:numId w:val="2"/>
        </w:numPr>
        <w:spacing w:after="60"/>
      </w:pPr>
      <w:r>
        <w:t xml:space="preserve">Alembic for all schema changes -- never manual SQL in production</w:t>
      </w:r>
    </w:p>
    <w:p>
      <w:pPr>
        <w:pStyle w:val="ListParagraph"/>
        <w:numPr>
          <w:ilvl w:val="0"/>
          <w:numId w:val="2"/>
        </w:numPr>
        <w:spacing w:after="60"/>
      </w:pPr>
      <w:r>
        <w:t xml:space="preserve">Every migration reversible -- downgrade() implemented and tested</w:t>
      </w:r>
    </w:p>
    <w:p>
      <w:pPr>
        <w:pStyle w:val="ListParagraph"/>
        <w:numPr>
          <w:ilvl w:val="0"/>
          <w:numId w:val="2"/>
        </w:numPr>
        <w:spacing w:after="60"/>
      </w:pPr>
      <w:r>
        <w:t xml:space="preserve">Migrations run automatically on deploy before application start</w:t>
      </w:r>
    </w:p>
    <w:p>
      <w:pPr>
        <w:pStyle w:val="ListParagraph"/>
        <w:numPr>
          <w:ilvl w:val="0"/>
          <w:numId w:val="2"/>
        </w:numPr>
        <w:spacing w:after="60"/>
      </w:pPr>
      <w:r>
        <w:t xml:space="preserve">Zero-downtime: additive changes only in rolling deploys</w:t>
      </w:r>
    </w:p>
    <w:p>
      <w:pPr>
        <w:pStyle w:val="ListParagraph"/>
        <w:numPr>
          <w:ilvl w:val="0"/>
          <w:numId w:val="2"/>
        </w:numPr>
        <w:spacing w:after="60"/>
      </w:pPr>
      <w:r>
        <w:t xml:space="preserve">Breaking changes: multi-step with feature flag (add column, backfill, read new, drop old)</w:t>
      </w:r>
    </w:p>
    <w:p>
      <w:pPr>
        <w:pStyle w:val="ListParagraph"/>
        <w:numPr>
          <w:ilvl w:val="0"/>
          <w:numId w:val="2"/>
        </w:numPr>
        <w:spacing w:after="60"/>
      </w:pPr>
      <w:r>
        <w:t xml:space="preserve">Migration tested in staging before production</w:t>
      </w:r>
    </w:p>
    <w:p/>
    <w:p>
      <w:pPr>
        <w:pStyle w:val="Heading1"/>
      </w:pPr>
      <w:r>
        <w:t xml:space="preserve">7. Backup and Recovery</w:t>
      </w:r>
    </w:p>
    <w:p/>
    <w:p>
      <w:pPr>
        <w:pStyle w:val="Heading2"/>
      </w:pPr>
      <w:r>
        <w:t xml:space="preserve">7.1 Postgres</w:t>
      </w:r>
    </w:p>
    <w:p>
      <w:pPr>
        <w:pStyle w:val="ListParagraph"/>
        <w:numPr>
          <w:ilvl w:val="0"/>
          <w:numId w:val="2"/>
        </w:numPr>
        <w:spacing w:after="60"/>
      </w:pPr>
      <w:r>
        <w:t xml:space="preserve">Automated daily snapshots via RDS -- retained 35 days</w:t>
      </w:r>
    </w:p>
    <w:p>
      <w:pPr>
        <w:pStyle w:val="ListParagraph"/>
        <w:numPr>
          <w:ilvl w:val="0"/>
          <w:numId w:val="2"/>
        </w:numPr>
        <w:spacing w:after="60"/>
      </w:pPr>
      <w:r>
        <w:t xml:space="preserve">Point-in-time recovery (PITR): enabled, RPO = 5 minutes</w:t>
      </w:r>
    </w:p>
    <w:p>
      <w:pPr>
        <w:pStyle w:val="ListParagraph"/>
        <w:numPr>
          <w:ilvl w:val="0"/>
          <w:numId w:val="2"/>
        </w:numPr>
        <w:spacing w:after="60"/>
      </w:pPr>
      <w:r>
        <w:t xml:space="preserve">Cross-region backup: daily snapshot replicated to secondary AWS region</w:t>
      </w:r>
    </w:p>
    <w:p>
      <w:pPr>
        <w:pStyle w:val="ListParagraph"/>
        <w:numPr>
          <w:ilvl w:val="0"/>
          <w:numId w:val="2"/>
        </w:numPr>
        <w:spacing w:after="60"/>
      </w:pPr>
      <w:r>
        <w:t xml:space="preserve">Target RTO: 1 hour | Target RPO: 5 minutes</w:t>
      </w:r>
    </w:p>
    <w:p>
      <w:pPr>
        <w:pStyle w:val="ListParagraph"/>
        <w:numPr>
          <w:ilvl w:val="0"/>
          <w:numId w:val="2"/>
        </w:numPr>
        <w:spacing w:after="60"/>
      </w:pPr>
      <w:r>
        <w:t xml:space="preserve">Quarterly restore drill -- measure and document actual RTO</w:t>
      </w:r>
    </w:p>
    <w:p/>
    <w:p>
      <w:pPr>
        <w:pStyle w:val="Heading2"/>
      </w:pPr>
      <w:r>
        <w:t xml:space="preserve">7.2 Qdrant</w:t>
      </w:r>
    </w:p>
    <w:p>
      <w:pPr>
        <w:pStyle w:val="ListParagraph"/>
        <w:numPr>
          <w:ilvl w:val="0"/>
          <w:numId w:val="2"/>
        </w:numPr>
        <w:spacing w:after="60"/>
      </w:pPr>
      <w:r>
        <w:t xml:space="preserve">Qdrant Cloud managed snapshots -- daily, retained 7 days</w:t>
      </w:r>
    </w:p>
    <w:p>
      <w:pPr>
        <w:pStyle w:val="ListParagraph"/>
        <w:numPr>
          <w:ilvl w:val="0"/>
          <w:numId w:val="2"/>
        </w:numPr>
        <w:spacing w:after="60"/>
      </w:pPr>
      <w:r>
        <w:t xml:space="preserve">On-demand snapshot before any corpus restructure, re-embedding, or collection migration</w:t>
      </w:r>
    </w:p>
    <w:p>
      <w:pPr>
        <w:pStyle w:val="ListParagraph"/>
        <w:numPr>
          <w:ilvl w:val="0"/>
          <w:numId w:val="2"/>
        </w:numPr>
        <w:spacing w:after="60"/>
      </w:pPr>
      <w:r>
        <w:t xml:space="preserve">Snapshot exported to S3 monthly for long-term retention</w:t>
      </w:r>
    </w:p>
    <w:p>
      <w:pPr>
        <w:pStyle w:val="ListParagraph"/>
        <w:numPr>
          <w:ilvl w:val="0"/>
          <w:numId w:val="2"/>
        </w:numPr>
        <w:spacing w:after="60"/>
      </w:pPr>
      <w:r>
        <w:t xml:space="preserve">Recovery: restore from snapshot, re-apply write-backs since snapshot using Postgres corpus_points as source of truth</w:t>
      </w:r>
    </w:p>
    <w:p/>
    <w:p>
      <w:pPr>
        <w:pStyle w:val="Heading2"/>
      </w:pPr>
      <w:r>
        <w:t xml:space="preserve">7.3 Graph Store</w:t>
      </w:r>
    </w:p>
    <w:p>
      <w:pPr>
        <w:pStyle w:val="ListParagraph"/>
        <w:numPr>
          <w:ilvl w:val="0"/>
          <w:numId w:val="2"/>
        </w:numPr>
        <w:spacing w:after="60"/>
      </w:pPr>
      <w:r>
        <w:t xml:space="preserve">Neo4j: daily graph export to S3 as Cypher dump -- retained 30 days</w:t>
      </w:r>
    </w:p>
    <w:p>
      <w:pPr>
        <w:pStyle w:val="ListParagraph"/>
        <w:numPr>
          <w:ilvl w:val="0"/>
          <w:numId w:val="2"/>
        </w:numPr>
        <w:spacing w:after="60"/>
      </w:pPr>
      <w:r>
        <w:t xml:space="preserve">Graph can be reconstructed from Postgres corpus_points if export unavailable</w:t>
      </w:r>
    </w:p>
    <w:p>
      <w:pPr>
        <w:pStyle w:val="ListParagraph"/>
        <w:numPr>
          <w:ilvl w:val="0"/>
          <w:numId w:val="2"/>
        </w:numPr>
        <w:spacing w:after="60"/>
      </w:pPr>
      <w:r>
        <w:t xml:space="preserve">NetworkX (dev): serialised to JSON on write, stored in S3</w:t>
      </w:r>
    </w:p>
    <w:p/>
    <w:p>
      <w:pPr>
        <w:pStyle w:val="Heading1"/>
      </w:pPr>
      <w:r>
        <w:t xml:space="preserve">8. Data Retention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rPr>
          <w:tblHeader/>
        </w:trPr>
        <w:tc>
          <w:tcPr>
            <w:tcW w:type="dxa" w:w="3000"/>
            <w:shd w:color="E2E8F0" w:val="clear"/>
          </w:tcPr>
          <w:p>
            <w:r>
              <w:rPr>
                <w:rFonts w:ascii="Arial" w:cs="Arial" w:eastAsia="Arial" w:hAnsi="Arial"/>
                <w:b/>
                <w:bCs/>
                <w:sz w:val="18"/>
                <w:szCs w:val="18"/>
              </w:rPr>
              <w:t xml:space="preserve">Data type</w:t>
            </w:r>
          </w:p>
        </w:tc>
        <w:tc>
          <w:tcPr>
            <w:tcW w:type="dxa" w:w="2000"/>
            <w:shd w:color="E2E8F0" w:val="clear"/>
          </w:tcPr>
          <w:p>
            <w:r>
              <w:rPr>
                <w:rFonts w:ascii="Arial" w:cs="Arial" w:eastAsia="Arial" w:hAnsi="Arial"/>
                <w:b/>
                <w:bCs/>
                <w:sz w:val="18"/>
                <w:szCs w:val="18"/>
              </w:rPr>
              <w:t xml:space="preserve">Hot retention</w:t>
            </w:r>
          </w:p>
        </w:tc>
        <w:tc>
          <w:tcPr>
            <w:tcW w:type="dxa" w:w="2000"/>
            <w:shd w:color="E2E8F0" w:val="clear"/>
          </w:tcPr>
          <w:p>
            <w:r>
              <w:rPr>
                <w:rFonts w:ascii="Arial" w:cs="Arial" w:eastAsia="Arial" w:hAnsi="Arial"/>
                <w:b/>
                <w:bCs/>
                <w:sz w:val="18"/>
                <w:szCs w:val="18"/>
              </w:rPr>
              <w:t xml:space="preserve">Warm retention</w:t>
            </w:r>
          </w:p>
        </w:tc>
        <w:tc>
          <w:tcPr>
            <w:tcW w:type="dxa" w:w="2360"/>
            <w:shd w:color="E2E8F0" w:val="clear"/>
          </w:tcPr>
          <w:p>
            <w:r>
              <w:rPr>
                <w:rFonts w:ascii="Arial" w:cs="Arial" w:eastAsia="Arial" w:hAnsi="Arial"/>
                <w:b/>
                <w:bCs/>
                <w:sz w:val="18"/>
                <w:szCs w:val="18"/>
              </w:rPr>
              <w:t xml:space="preserve">Delete after</w:t>
            </w:r>
          </w:p>
        </w:tc>
      </w:tr>
      <w:tr>
        <w:tc>
          <w:p>
            <w:r>
              <w:rPr>
                <w:rFonts w:ascii="Arial" w:cs="Arial" w:eastAsia="Arial" w:hAnsi="Arial"/>
                <w:b w:val="false"/>
                <w:bCs w:val="false"/>
                <w:sz w:val="18"/>
                <w:szCs w:val="18"/>
              </w:rPr>
              <w:t xml:space="preserve">Invoice records</w:t>
            </w:r>
          </w:p>
        </w:tc>
        <w:tc>
          <w:p>
            <w:r>
              <w:rPr>
                <w:rFonts w:ascii="Arial" w:cs="Arial" w:eastAsia="Arial" w:hAnsi="Arial"/>
                <w:b w:val="false"/>
                <w:bCs w:val="false"/>
                <w:sz w:val="18"/>
                <w:szCs w:val="18"/>
              </w:rPr>
              <w:t xml:space="preserve">13 months (Postgres)</w:t>
            </w:r>
          </w:p>
        </w:tc>
        <w:tc>
          <w:p>
            <w:r>
              <w:rPr>
                <w:rFonts w:ascii="Arial" w:cs="Arial" w:eastAsia="Arial" w:hAnsi="Arial"/>
                <w:b w:val="false"/>
                <w:bCs w:val="false"/>
                <w:sz w:val="18"/>
                <w:szCs w:val="18"/>
              </w:rPr>
              <w:t xml:space="preserve">7 years (S3 Parquet)</w:t>
            </w:r>
          </w:p>
        </w:tc>
        <w:tc>
          <w:p>
            <w:r>
              <w:rPr>
                <w:rFonts w:ascii="Arial" w:cs="Arial" w:eastAsia="Arial" w:hAnsi="Arial"/>
                <w:b w:val="false"/>
                <w:bCs w:val="false"/>
                <w:sz w:val="18"/>
                <w:szCs w:val="18"/>
              </w:rPr>
              <w:t xml:space="preserve">7 years</w:t>
            </w:r>
          </w:p>
        </w:tc>
      </w:tr>
      <w:tr>
        <w:tc>
          <w:p>
            <w:r>
              <w:rPr>
                <w:rFonts w:ascii="Arial" w:cs="Arial" w:eastAsia="Arial" w:hAnsi="Arial"/>
                <w:b w:val="false"/>
                <w:bCs w:val="false"/>
                <w:sz w:val="18"/>
                <w:szCs w:val="18"/>
              </w:rPr>
              <w:t xml:space="preserve">Audit log</w:t>
            </w:r>
          </w:p>
        </w:tc>
        <w:tc>
          <w:p>
            <w:r>
              <w:rPr>
                <w:rFonts w:ascii="Arial" w:cs="Arial" w:eastAsia="Arial" w:hAnsi="Arial"/>
                <w:b w:val="false"/>
                <w:bCs w:val="false"/>
                <w:sz w:val="18"/>
                <w:szCs w:val="18"/>
              </w:rPr>
              <w:t xml:space="preserve">13 months (Postgres)</w:t>
            </w:r>
          </w:p>
        </w:tc>
        <w:tc>
          <w:p>
            <w:r>
              <w:rPr>
                <w:rFonts w:ascii="Arial" w:cs="Arial" w:eastAsia="Arial" w:hAnsi="Arial"/>
                <w:b w:val="false"/>
                <w:bCs w:val="false"/>
                <w:sz w:val="18"/>
                <w:szCs w:val="18"/>
              </w:rPr>
              <w:t xml:space="preserve">7 years (S3 Parquet)</w:t>
            </w:r>
          </w:p>
        </w:tc>
        <w:tc>
          <w:p>
            <w:r>
              <w:rPr>
                <w:rFonts w:ascii="Arial" w:cs="Arial" w:eastAsia="Arial" w:hAnsi="Arial"/>
                <w:b w:val="false"/>
                <w:bCs w:val="false"/>
                <w:sz w:val="18"/>
                <w:szCs w:val="18"/>
              </w:rPr>
              <w:t xml:space="preserve">7 years (legal)</w:t>
            </w:r>
          </w:p>
        </w:tc>
      </w:tr>
      <w:tr>
        <w:tc>
          <w:p>
            <w:r>
              <w:rPr>
                <w:rFonts w:ascii="Arial" w:cs="Arial" w:eastAsia="Arial" w:hAnsi="Arial"/>
                <w:b w:val="false"/>
                <w:bCs w:val="false"/>
                <w:sz w:val="18"/>
                <w:szCs w:val="18"/>
              </w:rPr>
              <w:t xml:space="preserve">ERP postings</w:t>
            </w:r>
          </w:p>
        </w:tc>
        <w:tc>
          <w:p>
            <w:r>
              <w:rPr>
                <w:rFonts w:ascii="Arial" w:cs="Arial" w:eastAsia="Arial" w:hAnsi="Arial"/>
                <w:b w:val="false"/>
                <w:bCs w:val="false"/>
                <w:sz w:val="18"/>
                <w:szCs w:val="18"/>
              </w:rPr>
              <w:t xml:space="preserve">13 months (Postgres)</w:t>
            </w:r>
          </w:p>
        </w:tc>
        <w:tc>
          <w:p>
            <w:r>
              <w:rPr>
                <w:rFonts w:ascii="Arial" w:cs="Arial" w:eastAsia="Arial" w:hAnsi="Arial"/>
                <w:b w:val="false"/>
                <w:bCs w:val="false"/>
                <w:sz w:val="18"/>
                <w:szCs w:val="18"/>
              </w:rPr>
              <w:t xml:space="preserve">7 years (S3 Parquet)</w:t>
            </w:r>
          </w:p>
        </w:tc>
        <w:tc>
          <w:p>
            <w:r>
              <w:rPr>
                <w:rFonts w:ascii="Arial" w:cs="Arial" w:eastAsia="Arial" w:hAnsi="Arial"/>
                <w:b w:val="false"/>
                <w:bCs w:val="false"/>
                <w:sz w:val="18"/>
                <w:szCs w:val="18"/>
              </w:rPr>
              <w:t xml:space="preserve">7 years</w:t>
            </w:r>
          </w:p>
        </w:tc>
      </w:tr>
      <w:tr>
        <w:tc>
          <w:p>
            <w:r>
              <w:rPr>
                <w:rFonts w:ascii="Arial" w:cs="Arial" w:eastAsia="Arial" w:hAnsi="Arial"/>
                <w:b w:val="false"/>
                <w:bCs w:val="false"/>
                <w:sz w:val="18"/>
                <w:szCs w:val="18"/>
              </w:rPr>
              <w:t xml:space="preserve">Corpus points</w:t>
            </w:r>
          </w:p>
        </w:tc>
        <w:tc>
          <w:p>
            <w:r>
              <w:rPr>
                <w:rFonts w:ascii="Arial" w:cs="Arial" w:eastAsia="Arial" w:hAnsi="Arial"/>
                <w:b w:val="false"/>
                <w:bCs w:val="false"/>
                <w:sz w:val="18"/>
                <w:szCs w:val="18"/>
              </w:rPr>
              <w:t xml:space="preserve">Indefinite (Qdrant)</w:t>
            </w:r>
          </w:p>
        </w:tc>
        <w:tc>
          <w:p>
            <w:r>
              <w:rPr>
                <w:rFonts w:ascii="Arial" w:cs="Arial" w:eastAsia="Arial" w:hAnsi="Arial"/>
                <w:b w:val="false"/>
                <w:bCs w:val="false"/>
                <w:sz w:val="18"/>
                <w:szCs w:val="18"/>
              </w:rPr>
              <w:t xml:space="preserve">N/A</w:t>
            </w:r>
          </w:p>
        </w:tc>
        <w:tc>
          <w:p>
            <w:r>
              <w:rPr>
                <w:rFonts w:ascii="Arial" w:cs="Arial" w:eastAsia="Arial" w:hAnsi="Arial"/>
                <w:b w:val="false"/>
                <w:bCs w:val="false"/>
                <w:sz w:val="18"/>
                <w:szCs w:val="18"/>
              </w:rPr>
              <w:t xml:space="preserve">On erasure request</w:t>
            </w:r>
          </w:p>
        </w:tc>
      </w:tr>
      <w:tr>
        <w:tc>
          <w:p>
            <w:r>
              <w:rPr>
                <w:rFonts w:ascii="Arial" w:cs="Arial" w:eastAsia="Arial" w:hAnsi="Arial"/>
                <w:b w:val="false"/>
                <w:bCs w:val="false"/>
                <w:sz w:val="18"/>
                <w:szCs w:val="18"/>
              </w:rPr>
              <w:t xml:space="preserve">Invoice PDFs/images</w:t>
            </w:r>
          </w:p>
        </w:tc>
        <w:tc>
          <w:p>
            <w:r>
              <w:rPr>
                <w:rFonts w:ascii="Arial" w:cs="Arial" w:eastAsia="Arial" w:hAnsi="Arial"/>
                <w:b w:val="false"/>
                <w:bCs w:val="false"/>
                <w:sz w:val="18"/>
                <w:szCs w:val="18"/>
              </w:rPr>
              <w:t xml:space="preserve">13 months (S3)</w:t>
            </w:r>
          </w:p>
        </w:tc>
        <w:tc>
          <w:p>
            <w:r>
              <w:rPr>
                <w:rFonts w:ascii="Arial" w:cs="Arial" w:eastAsia="Arial" w:hAnsi="Arial"/>
                <w:b w:val="false"/>
                <w:bCs w:val="false"/>
                <w:sz w:val="18"/>
                <w:szCs w:val="18"/>
              </w:rPr>
              <w:t xml:space="preserve">7 years (S3 Glacier)</w:t>
            </w:r>
          </w:p>
        </w:tc>
        <w:tc>
          <w:p>
            <w:r>
              <w:rPr>
                <w:rFonts w:ascii="Arial" w:cs="Arial" w:eastAsia="Arial" w:hAnsi="Arial"/>
                <w:b w:val="false"/>
                <w:bCs w:val="false"/>
                <w:sz w:val="18"/>
                <w:szCs w:val="18"/>
              </w:rPr>
              <w:t xml:space="preserve">On erasure request or 7 years</w:t>
            </w:r>
          </w:p>
        </w:tc>
      </w:tr>
      <w:tr>
        <w:tc>
          <w:p>
            <w:r>
              <w:rPr>
                <w:rFonts w:ascii="Arial" w:cs="Arial" w:eastAsia="Arial" w:hAnsi="Arial"/>
                <w:b w:val="false"/>
                <w:bCs w:val="false"/>
                <w:sz w:val="18"/>
                <w:szCs w:val="18"/>
              </w:rPr>
              <w:t xml:space="preserve">Embeddings cache</w:t>
            </w:r>
          </w:p>
        </w:tc>
        <w:tc>
          <w:p>
            <w:r>
              <w:rPr>
                <w:rFonts w:ascii="Arial" w:cs="Arial" w:eastAsia="Arial" w:hAnsi="Arial"/>
                <w:b w:val="false"/>
                <w:bCs w:val="false"/>
                <w:sz w:val="18"/>
                <w:szCs w:val="18"/>
              </w:rPr>
              <w:t xml:space="preserve">24h (Redis)</w:t>
            </w:r>
          </w:p>
        </w:tc>
        <w:tc>
          <w:p>
            <w:r>
              <w:rPr>
                <w:rFonts w:ascii="Arial" w:cs="Arial" w:eastAsia="Arial" w:hAnsi="Arial"/>
                <w:b w:val="false"/>
                <w:bCs w:val="false"/>
                <w:sz w:val="18"/>
                <w:szCs w:val="18"/>
              </w:rPr>
              <w:t xml:space="preserve">N/A</w:t>
            </w:r>
          </w:p>
        </w:tc>
        <w:tc>
          <w:p>
            <w:r>
              <w:rPr>
                <w:rFonts w:ascii="Arial" w:cs="Arial" w:eastAsia="Arial" w:hAnsi="Arial"/>
                <w:b w:val="false"/>
                <w:bCs w:val="false"/>
                <w:sz w:val="18"/>
                <w:szCs w:val="18"/>
              </w:rPr>
              <w:t xml:space="preserve">On TTL or erasure</w:t>
            </w:r>
          </w:p>
        </w:tc>
      </w:tr>
      <w:tr>
        <w:tc>
          <w:p>
            <w:r>
              <w:rPr>
                <w:rFonts w:ascii="Arial" w:cs="Arial" w:eastAsia="Arial" w:hAnsi="Arial"/>
                <w:b w:val="false"/>
                <w:bCs w:val="false"/>
                <w:sz w:val="18"/>
                <w:szCs w:val="18"/>
              </w:rPr>
              <w:t xml:space="preserve">Langfuse traces</w:t>
            </w:r>
          </w:p>
        </w:tc>
        <w:tc>
          <w:p>
            <w:r>
              <w:rPr>
                <w:rFonts w:ascii="Arial" w:cs="Arial" w:eastAsia="Arial" w:hAnsi="Arial"/>
                <w:b w:val="false"/>
                <w:bCs w:val="false"/>
                <w:sz w:val="18"/>
                <w:szCs w:val="18"/>
              </w:rPr>
              <w:t xml:space="preserve">90 days (Langfuse Cloud)</w:t>
            </w:r>
          </w:p>
        </w:tc>
        <w:tc>
          <w:p>
            <w:r>
              <w:rPr>
                <w:rFonts w:ascii="Arial" w:cs="Arial" w:eastAsia="Arial" w:hAnsi="Arial"/>
                <w:b w:val="false"/>
                <w:bCs w:val="false"/>
                <w:sz w:val="18"/>
                <w:szCs w:val="18"/>
              </w:rPr>
              <w:t xml:space="preserve">N/A</w:t>
            </w:r>
          </w:p>
        </w:tc>
        <w:tc>
          <w:p>
            <w:r>
              <w:rPr>
                <w:rFonts w:ascii="Arial" w:cs="Arial" w:eastAsia="Arial" w:hAnsi="Arial"/>
                <w:b w:val="false"/>
                <w:bCs w:val="false"/>
                <w:sz w:val="18"/>
                <w:szCs w:val="18"/>
              </w:rPr>
              <w:t xml:space="preserve">90 days</w:t>
            </w:r>
          </w:p>
        </w:tc>
      </w:tr>
      <w:tr>
        <w:tc>
          <w:p>
            <w:r>
              <w:rPr>
                <w:rFonts w:ascii="Arial" w:cs="Arial" w:eastAsia="Arial" w:hAnsi="Arial"/>
                <w:b w:val="false"/>
                <w:bCs w:val="false"/>
                <w:sz w:val="18"/>
                <w:szCs w:val="18"/>
              </w:rPr>
              <w:t xml:space="preserve">SBOM artifacts</w:t>
            </w:r>
          </w:p>
        </w:tc>
        <w:tc>
          <w:p>
            <w:r>
              <w:rPr>
                <w:rFonts w:ascii="Arial" w:cs="Arial" w:eastAsia="Arial" w:hAnsi="Arial"/>
                <w:b w:val="false"/>
                <w:bCs w:val="false"/>
                <w:sz w:val="18"/>
                <w:szCs w:val="18"/>
              </w:rPr>
              <w:t xml:space="preserve">Per build (S3)</w:t>
            </w:r>
          </w:p>
        </w:tc>
        <w:tc>
          <w:p>
            <w:r>
              <w:rPr>
                <w:rFonts w:ascii="Arial" w:cs="Arial" w:eastAsia="Arial" w:hAnsi="Arial"/>
                <w:b w:val="false"/>
                <w:bCs w:val="false"/>
                <w:sz w:val="18"/>
                <w:szCs w:val="18"/>
              </w:rPr>
              <w:t xml:space="preserve">N/A</w:t>
            </w:r>
          </w:p>
        </w:tc>
        <w:tc>
          <w:p>
            <w:r>
              <w:rPr>
                <w:rFonts w:ascii="Arial" w:cs="Arial" w:eastAsia="Arial" w:hAnsi="Arial"/>
                <w:b w:val="false"/>
                <w:bCs w:val="false"/>
                <w:sz w:val="18"/>
                <w:szCs w:val="18"/>
              </w:rPr>
              <w:t xml:space="preserve">2 years</w:t>
            </w:r>
          </w:p>
        </w:tc>
      </w:tr>
      <w:tr>
        <w:tc>
          <w:p>
            <w:r>
              <w:rPr>
                <w:rFonts w:ascii="Arial" w:cs="Arial" w:eastAsia="Arial" w:hAnsi="Arial"/>
                <w:b w:val="false"/>
                <w:bCs w:val="false"/>
                <w:sz w:val="18"/>
                <w:szCs w:val="18"/>
              </w:rPr>
              <w:t xml:space="preserve">LLM cost logs</w:t>
            </w:r>
          </w:p>
        </w:tc>
        <w:tc>
          <w:p>
            <w:r>
              <w:rPr>
                <w:rFonts w:ascii="Arial" w:cs="Arial" w:eastAsia="Arial" w:hAnsi="Arial"/>
                <w:b w:val="false"/>
                <w:bCs w:val="false"/>
                <w:sz w:val="18"/>
                <w:szCs w:val="18"/>
              </w:rPr>
              <w:t xml:space="preserve">13 months (Postgres)</w:t>
            </w:r>
          </w:p>
        </w:tc>
        <w:tc>
          <w:p>
            <w:r>
              <w:rPr>
                <w:rFonts w:ascii="Arial" w:cs="Arial" w:eastAsia="Arial" w:hAnsi="Arial"/>
                <w:b w:val="false"/>
                <w:bCs w:val="false"/>
                <w:sz w:val="18"/>
                <w:szCs w:val="18"/>
              </w:rPr>
              <w:t xml:space="preserve">N/A</w:t>
            </w:r>
          </w:p>
        </w:tc>
        <w:tc>
          <w:p>
            <w:r>
              <w:rPr>
                <w:rFonts w:ascii="Arial" w:cs="Arial" w:eastAsia="Arial" w:hAnsi="Arial"/>
                <w:b w:val="false"/>
                <w:bCs w:val="false"/>
                <w:sz w:val="18"/>
                <w:szCs w:val="18"/>
              </w:rPr>
              <w:t xml:space="preserve">13 months</w:t>
            </w:r>
          </w:p>
        </w:tc>
      </w:tr>
    </w:tbl>
    <w:p/>
    <w:p>
      <w:r>
        <w:rPr>
          <w:rFonts w:ascii="Arial" w:cs="Arial" w:eastAsia="Arial" w:hAnsi="Arial"/>
          <w:color w:val="6B7280"/>
          <w:sz w:val="18"/>
          <w:szCs w:val="18"/>
        </w:rPr>
        <w:t xml:space="preserve">Contact: miles.waite@akkoda.com | github.com/Milesy1/ap-automation</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2026-10-15T19:59:06.332Z</dcterms:created>
  <dcterms:modified xsi:type="dcterms:W3CDTF">2026-10-15T19:59:06.338Z</dcterms:modified>
</cp:coreProperties>
</file>

<file path=docProps/custom.xml><?xml version="1.0" encoding="utf-8"?>
<Properties xmlns="http://schemas.openxmlformats.org/officeDocument/2006/custom-properties" xmlns:vt="http://schemas.openxmlformats.org/officeDocument/2006/docPropsVTypes"/>
</file>