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AP Automation -- Deployment and Infrastructure</w:t>
      </w:r>
    </w:p>
    <w:p>
      <w:r>
        <w:rPr>
          <w:rFonts w:ascii="Arial" w:cs="Arial" w:eastAsia="Arial" w:hAnsi="Arial"/>
          <w:sz w:val="20"/>
          <w:szCs w:val="20"/>
        </w:rPr>
        <w:t xml:space="preserve">Comprehensive infrastructure specification covering AWS architecture, ECS configuration, networking, auto-scaling, supply chain security, SBOM generation, penetration testing programme, full OpenTelemetry across all services including ERP connectors and event bus, disaster recovery, and deployment pipeline.</w:t>
      </w:r>
    </w:p>
    <w:p>
      <w:r>
        <w:rPr>
          <w:rFonts w:ascii="Arial" w:cs="Arial" w:eastAsia="Arial" w:hAnsi="Arial"/>
          <w:sz w:val="20"/>
          <w:szCs w:val="20"/>
        </w:rPr>
        <w:t xml:space="preserve">October 2026 | Form Consulting Services | Akkoda</w:t>
      </w:r>
    </w:p>
    <w:p/>
    <w:p>
      <w:pPr>
        <w:pStyle w:val="Heading1"/>
      </w:pPr>
      <w:r>
        <w:t xml:space="preserve">1. AWS Architecture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Service</w:t>
            </w:r>
          </w:p>
        </w:tc>
        <w:tc>
          <w:tcPr>
            <w:tcW w:type="dxa" w:w="250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AWS Resource</w:t>
            </w:r>
          </w:p>
        </w:tc>
        <w:tc>
          <w:tcPr>
            <w:tcW w:type="dxa" w:w="436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Purpose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 Gateway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ALB + WAF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Single entry point, SSL termination, DDoS protection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 Service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ECS Fargate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FastAPI application, auto-scaling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MCP Server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ECS Fargate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FastMCP server -- separate service, same VPC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Frontend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ECS Fargate + CloudFront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Next.js SSR, CDN for static assets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Worker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ECS Fargate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Celery workers -- async tasks, ERP posting, erasure jobs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Event Bus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AWS EventBridge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Invoice events for ERP connectors and iPaaS integrations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Database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RDS Postgres 16 Multi-AZ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 data store, automatic failover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Cache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ElastiCache Redis 7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Vendor resolution, embeddings, idempotency store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Vector store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Qdrant Cloud (external)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Invoice corpus -- managed service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Graph store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Neo4j Aura (external)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GraphRAG supplier knowledge graph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Object store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S3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 archives, PDFs/images, SBOM artifacts, exports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Secrets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HashiCorp Vault (ECS task)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 keys, ERP credentials, JWT secrets, dynamic DB credentials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Container registry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ECR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Signed Docker images -- API, frontend, worker, MCP server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Monitoring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CloudWatch + Prometheus + OpenTelemetry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Unified traces, metrics, logs across all services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DNS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Route 53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Domain routing, health checks, failover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CDN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CloudFront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Frontend static assets, API caching headers</w:t>
            </w:r>
          </w:p>
        </w:tc>
      </w:tr>
    </w:tbl>
    <w:p/>
    <w:p>
      <w:pPr>
        <w:pStyle w:val="Heading1"/>
      </w:pPr>
      <w:r>
        <w:t xml:space="preserve">2. Networking</w:t>
      </w:r>
    </w:p>
    <w:p/>
    <w:p>
      <w:pPr>
        <w:pStyle w:val="Heading2"/>
      </w:pPr>
      <w:r>
        <w:t xml:space="preserve">2.1 VPC Design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VPC CIDR: 10.0.0.0/16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 Availability Zones: eu-west-2a, eu-west-2b, eu-west-2c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Public subnets (10.0.1-3.0/24): ALB only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Private subnets (10.0.11-13.0/24): ECS tasks, RDS, ElastiCache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NAT Gateway per AZ: ECS tasks can call OpenAI, Anthropic, Qdrant, Langfuse, Neo4j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VPC Flow Logs: enabled, shipped to CloudWatch and S3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PrivateLink: where available, use AWS PrivateLink for service endpoints rather than internet egress</w:t>
      </w:r>
    </w:p>
    <w:p/>
    <w:p>
      <w:pPr>
        <w:pStyle w:val="Heading2"/>
      </w:pPr>
      <w:r>
        <w:t xml:space="preserve">2.2 Security Groups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alb-sg: inbound 443 from 0.0.0.0/0, outbound to api-sg on 8000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api-sg: inbound from alb-sg on 8000, outbound to rds-sg/redis-sg/internet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mcp-sg: inbound from api-sg on 8080, outbound to api-sg (tool calls back to API)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worker-sg: no inbound, outbound to rds-sg/redis-sg/internet/eventbridge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rds-sg: inbound from api-sg and worker-sg on 5432 only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redis-sg: inbound from api-sg and worker-sg on 6379 only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security group allows inbound from 0.0.0.0/0 except ALB on 443</w:t>
      </w:r>
    </w:p>
    <w:p/>
    <w:p>
      <w:pPr>
        <w:pStyle w:val="Heading1"/>
      </w:pPr>
      <w:r>
        <w:t xml:space="preserve">3. ECS Configuration</w:t>
      </w:r>
    </w:p>
    <w:p/>
    <w:p>
      <w:pPr>
        <w:pStyle w:val="Heading2"/>
      </w:pPr>
      <w:r>
        <w:t xml:space="preserve">3.1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1000"/>
        <w:gridCol w:w="800"/>
        <w:gridCol w:w="800"/>
        <w:gridCol w:w="3960"/>
      </w:tblGrid>
      <w:tr>
        <w:trPr>
          <w:tblHeader/>
        </w:trPr>
        <w:tc>
          <w:tcPr>
            <w:tcW w:type="dxa" w:w="180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Service</w:t>
            </w:r>
          </w:p>
        </w:tc>
        <w:tc>
          <w:tcPr>
            <w:tcW w:type="dxa" w:w="100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CPU</w:t>
            </w:r>
          </w:p>
        </w:tc>
        <w:tc>
          <w:tcPr>
            <w:tcW w:type="dxa" w:w="100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Memory</w:t>
            </w:r>
          </w:p>
        </w:tc>
        <w:tc>
          <w:tcPr>
            <w:tcW w:type="dxa" w:w="80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Min</w:t>
            </w:r>
          </w:p>
        </w:tc>
        <w:tc>
          <w:tcPr>
            <w:tcW w:type="dxa" w:w="80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Max</w:t>
            </w:r>
          </w:p>
        </w:tc>
        <w:tc>
          <w:tcPr>
            <w:tcW w:type="dxa" w:w="396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vCPU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GB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FastAPI -- min 2 for HA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mcp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0.5 vCPU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GB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FastMCP server -- scale on connection count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frontend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0.5 vCPU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GB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Next.js SSR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worker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vCPU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 GB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Celery -- scales on queue depth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worker-erasure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vCPU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GB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Dedicated erasure worker -- scale to 0 when idle</w:t>
            </w:r>
          </w:p>
        </w:tc>
      </w:tr>
    </w:tbl>
    <w:p/>
    <w:p>
      <w:pPr>
        <w:pStyle w:val="Heading2"/>
      </w:pPr>
      <w:r>
        <w:t xml:space="preserve">3.2 Auto-Scaling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 service: ALBRequestCountPerTarget target 1000 req/min/task + CPU &gt;70%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MCP server: scale on active SSE connection count -- target 50 connections per task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Worker: queue depth target 50 tasks per worker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Worker scales to 0 when queue empty for &gt;5 minutes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Erasure worker: scales to 0 when no pending erasure requests -- cost saving</w:t>
      </w:r>
    </w:p>
    <w:p/>
    <w:p>
      <w:pPr>
        <w:pStyle w:val="Heading2"/>
      </w:pPr>
      <w:r>
        <w:t xml:space="preserve">3.3 Task Definition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Image: ECR URI pinned to SHA digest -- never :latest in production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Environment: injected from AWS Secrets Manager at task start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Health check: /api/v1/health every 30s, 3 failures = unhealthy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OpenTelemetry sidecar: ADOT (AWS Distro for OpenTelemetry) runs as ECS sidecar, collects spans from all tasks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Logging: awslogs driver to CloudWatch -- /ap-automation/{env}/{service}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Resource limits: hard limit = task size, soft limit = 80%</w:t>
      </w:r>
    </w:p>
    <w:p/>
    <w:p>
      <w:pPr>
        <w:pStyle w:val="Heading1"/>
      </w:pPr>
      <w:r>
        <w:t xml:space="preserve">4. Full OpenTelemetry Coverage</w:t>
      </w:r>
    </w:p>
    <w:p>
      <w:r>
        <w:rPr>
          <w:rFonts w:ascii="Arial" w:cs="Arial" w:eastAsia="Arial" w:hAnsi="Arial"/>
          <w:sz w:val="20"/>
          <w:szCs w:val="20"/>
        </w:rPr>
        <w:t xml:space="preserve">OpenTelemetry spans are propagated through the entire stack -- not just the FastAPI layer. This is a requirement for production observability: an incident that starts in an ERP connector or the event bus must be traceable from the root cause.</w:t>
      </w:r>
    </w:p>
    <w:p/>
    <w:p>
      <w:pPr>
        <w:pStyle w:val="Heading2"/>
      </w:pPr>
      <w:r>
        <w:t xml:space="preserve">4.1 Instrumentation Scope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FastAPI: auto-instrumented via opentelemetry-instrumentation-fastapi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MCP server: manual span creation per tool call, resource read, and prompt invocation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Celery workers: auto-instrumented via opentelemetry-instrumentation-celery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Postgres: auto-instrumented via opentelemetry-instrumentation-psycopg2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Redis: auto-instrumented via opentelemetry-instrumentation-redis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ERP connectors: manual span per connector call -- attributes: tenant_id, vendor_id, erp_type, posting_id, latency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EventBridge: manual span per event publish and consume -- trace context propagated in event envelope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Qdrant client: manual span per retrieval call -- attributes: tenant_id, collection, top_k, latency, results_count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Langfuse: LLM-specific spans via Langfuse Python SDK -- correlated with OpenTelemetry trace IDs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A2A agent calls: manual span per agent invocation -- attributes: agent_name, agent_url, tool_name, latency</w:t>
      </w:r>
    </w:p>
    <w:p/>
    <w:p>
      <w:pPr>
        <w:pStyle w:val="Heading2"/>
      </w:pPr>
      <w:r>
        <w:t xml:space="preserve">4.2 Trace Context Propagation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W3C TraceContext standard (traceparent header) propagated across all HTTP calls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EventBridge events carry trace context in the detail envelope -- consumer services continue the trace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Celery tasks carry trace context in task headers -- worker spans parented to API request span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Cross-service traces visible in AWS X-Ray and Grafana Tempo</w:t>
      </w:r>
    </w:p>
    <w:p/>
    <w:p>
      <w:pPr>
        <w:pStyle w:val="Heading2"/>
      </w:pPr>
      <w:r>
        <w:t xml:space="preserve">4.3 Metrics Export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services export Prometheus-format metrics via /metrics endpoint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ADOT sidecar scrapes /metrics and ships to Amazon Managed Prometheus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Grafana dashboards: per-service latency, error rate, throughput, queue depth, circuit breaker state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ERP connector dashboard: posting success rate, latency, retry count per connector type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Event bus dashboard: event throughput, consumer lag, dead letter queue depth</w:t>
      </w:r>
    </w:p>
    <w:p/>
    <w:p>
      <w:pPr>
        <w:pStyle w:val="Heading1"/>
      </w:pPr>
      <w:r>
        <w:t xml:space="preserve">5. Supply Chain Security</w:t>
      </w:r>
    </w:p>
    <w:p>
      <w:r>
        <w:rPr>
          <w:rFonts w:ascii="Arial" w:cs="Arial" w:eastAsia="Arial" w:hAnsi="Arial"/>
          <w:sz w:val="20"/>
          <w:szCs w:val="20"/>
        </w:rPr>
        <w:t xml:space="preserve">The middleware has a significant dependency surface. Supply chain attacks via compromised dependencies are a real and growing threat in the AI/ML ecosystem.</w:t>
      </w:r>
    </w:p>
    <w:p/>
    <w:p>
      <w:pPr>
        <w:pStyle w:val="Heading2"/>
      </w:pPr>
      <w:r>
        <w:t xml:space="preserve">5.1 SBOM Generation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Syft generates SBOM on every Docker build -- CycloneDX and SPDX formats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SBOM stored in S3 alongside the image -- retained for 2 years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SBOM attached to ECR image as an OCI attestation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Grype scans SBOM for known CVEs -- critical and high CVEs block deployment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SBOM diff on every build -- new dependencies flagged for review</w:t>
      </w:r>
    </w:p>
    <w:p/>
    <w:p>
      <w:pPr>
        <w:pStyle w:val="Heading2"/>
      </w:pPr>
      <w:r>
        <w:t xml:space="preserve">5.2 Image Signing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Docker images signed with Cosign using AWS KMS-managed keys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ECS task definition validates image signature before starting any task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Policy: unsigned or invalid signature images are refused at the cluster level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Signing keys rotated annually -- previous keys retained for 90 days for image verification</w:t>
      </w:r>
    </w:p>
    <w:p/>
    <w:p>
      <w:pPr>
        <w:pStyle w:val="Heading2"/>
      </w:pPr>
      <w:r>
        <w:t xml:space="preserve">5.3 Dependency Management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Python dependencies pinned to exact versions with hash verification (pip --require-hashes)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Dependabot enabled on GitHub -- weekly dependency update PRs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Critical CVEs: Dependabot creates P1 PR immediately -- deployment blocked until merged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Private PyPI mirror (AWS CodeArtifact): all packages proxied through internal mirror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Dependency confusion protection: all internal packages published to private registry with same names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License scanning: pip-licenses on every build -- AGPL and GPL dependencies flagged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npm dependencies for Next.js frontend: same approach via npm audit and private registry</w:t>
      </w:r>
    </w:p>
    <w:p/>
    <w:p>
      <w:pPr>
        <w:pStyle w:val="Heading1"/>
      </w:pPr>
      <w:r>
        <w:t xml:space="preserve">6. Penetration Testing Programme</w:t>
      </w:r>
    </w:p>
    <w:p>
      <w:r>
        <w:rPr>
          <w:rFonts w:ascii="Arial" w:cs="Arial" w:eastAsia="Arial" w:hAnsi="Arial"/>
          <w:sz w:val="20"/>
          <w:szCs w:val="20"/>
        </w:rPr>
        <w:t xml:space="preserve">Annual external penetration test plus quarterly internal red team exercises.</w:t>
      </w:r>
    </w:p>
    <w:p/>
    <w:p>
      <w:pPr>
        <w:pStyle w:val="Heading2"/>
      </w:pPr>
      <w:r>
        <w:t xml:space="preserve">6.1 Annual External Pentest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Scope: all externally exposed endpoints (ALB, CloudFront, MCP SSE endpoint)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Scope: authentication and authorisation (JWT, OAuth2, RBAC bypass attempts)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Scope: LLM-specific attacks (prompt injection, corpus extraction, model manipulation)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Scope: supply chain (dependency confusion, image tampering)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Provider: CREST-accredited firm -- retest included in scope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Findings: documented in risk register, critical issues remediated within 30 days, high within 90 days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Pentest report shared with enterprise clients on request -- redacted version</w:t>
      </w:r>
    </w:p>
    <w:p/>
    <w:p>
      <w:pPr>
        <w:pStyle w:val="Heading2"/>
      </w:pPr>
      <w:r>
        <w:t xml:space="preserve">6.2 Quarterly Internal Red Team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Scope: LLM-specific attacks run against staging environment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Tooling: claude-opus-5-5 as automated attacker, custom prompt injection test suite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Focus: new attack vectors discovered since last quarterly exercise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Output: findings logged, any new attack types added to automated red team suite</w:t>
      </w:r>
    </w:p>
    <w:p/>
    <w:p>
      <w:pPr>
        <w:pStyle w:val="Heading1"/>
      </w:pPr>
      <w:r>
        <w:t xml:space="preserve">7. Deployment Pipeline</w:t>
      </w:r>
    </w:p>
    <w:p/>
    <w:p>
      <w:pPr>
        <w:pStyle w:val="Heading2"/>
      </w:pPr>
      <w:r>
        <w:t xml:space="preserve">7.1 Environments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000"/>
        <w:gridCol w:w="2360"/>
      </w:tblGrid>
      <w:tr>
        <w:trPr>
          <w:tblHeader/>
        </w:trPr>
        <w:tc>
          <w:tcPr>
            <w:tcW w:type="dxa" w:w="200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Environment</w:t>
            </w:r>
          </w:p>
        </w:tc>
        <w:tc>
          <w:tcPr>
            <w:tcW w:type="dxa" w:w="300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Purpose</w:t>
            </w:r>
          </w:p>
        </w:tc>
        <w:tc>
          <w:tcPr>
            <w:tcW w:type="dxa" w:w="200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Deploy trigger</w:t>
            </w:r>
          </w:p>
        </w:tc>
        <w:tc>
          <w:tcPr>
            <w:tcW w:type="dxa" w:w="236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dev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Developer testing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 push to feature branch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Synthetic seed data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staging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Integration testing, pre-release validation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 merge to main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Anonymised production clone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production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Live client traffic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Manual promote from staging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Real client data</w:t>
            </w:r>
          </w:p>
        </w:tc>
      </w:tr>
    </w:tbl>
    <w:p/>
    <w:p>
      <w:pPr>
        <w:pStyle w:val="Heading2"/>
      </w:pPr>
      <w:r>
        <w:t xml:space="preserve">7.2 Deploy Process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GitHub Actions: build Docker image, run SBOM generation and CVE scan, sign image, push to ECR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Terraform plan: infrastructure diff reviewed in PR comment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Alembic migrations: run as ECS one-off task before service update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ECS rolling update: minimum 50% healthy, maximum 200%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Health check: ALB waits for /api/v1/health 200 before routing traffic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Smoke tests: 5 critical endpoints tested post-deploy -- auto-rollback on failure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OpenTelemetry verification: confirm traces flowing from all services post-deploy</w:t>
      </w:r>
    </w:p>
    <w:p/>
    <w:p>
      <w:pPr>
        <w:pStyle w:val="Heading2"/>
      </w:pPr>
      <w:r>
        <w:t xml:space="preserve">7.3 Rollback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Automatic: smoke test failure triggers immediate rollback to previous task definition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Manual: ECS update-service --task-definition &lt;previous-revision&gt; -- &lt;2 minutes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Database: Alembic downgrade as ECS one-off task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Rollback tested quarterly -- RTO target &lt;5 minutes</w:t>
      </w:r>
    </w:p>
    <w:p/>
    <w:p>
      <w:pPr>
        <w:pStyle w:val="Heading1"/>
      </w:pPr>
      <w:r>
        <w:t xml:space="preserve">8. Infrastructure as Code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AWS resources defined in Terraform -- no console-created resources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Module structure: networking, compute, database, cache, security, monitoring, eventbridge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Remote state: S3 backend with DynamoDB locking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Workspaces: dev, staging, production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Terraform Cloud: plan/apply UI, audit log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Sensitive variables: sourced from Vault -- never in state file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terraform fmt and validate in CI -- PR blocked on invalid HCL</w:t>
      </w:r>
    </w:p>
    <w:p/>
    <w:p>
      <w:pPr>
        <w:pStyle w:val="Heading1"/>
      </w:pPr>
      <w:r>
        <w:t xml:space="preserve">9. Disaster Recovery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800"/>
        <w:gridCol w:w="2760"/>
      </w:tblGrid>
      <w:tr>
        <w:trPr>
          <w:tblHeader/>
        </w:trPr>
        <w:tc>
          <w:tcPr>
            <w:tcW w:type="dxa" w:w="300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Scenario</w:t>
            </w:r>
          </w:p>
        </w:tc>
        <w:tc>
          <w:tcPr>
            <w:tcW w:type="dxa" w:w="180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RTO</w:t>
            </w:r>
          </w:p>
        </w:tc>
        <w:tc>
          <w:tcPr>
            <w:tcW w:type="dxa" w:w="180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RPO</w:t>
            </w:r>
          </w:p>
        </w:tc>
        <w:tc>
          <w:tcPr>
            <w:tcW w:type="dxa" w:w="276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Mechanism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ECS task failure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&lt;1 min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ECS replaces automatically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AZ failure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&lt;2 min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Multi-AZ ALB, RDS, ElastiCache failover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RDS primary failure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&lt;1 min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&lt;5 min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Multi-AZ automatic failover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Bad deploy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&lt;5 min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Smoke test + automatic rollback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Full region failure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&lt;4 hours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&lt;1 hour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Manual failover to secondary region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 corruption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&lt;4 hours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&lt;5 min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PITR restore from RDS backup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Supply chain compromise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&lt;2 hours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Roll back to previous signed image, revoke compromised key</w:t>
            </w:r>
          </w:p>
        </w:tc>
      </w:tr>
    </w:tbl>
    <w:p/>
    <w:p>
      <w:pPr>
        <w:pStyle w:val="Heading1"/>
      </w:pPr>
      <w:r>
        <w:t xml:space="preserve">10. Cost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rPr>
          <w:tblHeader/>
        </w:trPr>
        <w:tc>
          <w:tcPr>
            <w:tcW w:type="dxa" w:w="350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Resource</w:t>
            </w:r>
          </w:p>
        </w:tc>
        <w:tc>
          <w:tcPr>
            <w:tcW w:type="dxa" w:w="250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~£/month at 10k inv/mo</w:t>
            </w:r>
          </w:p>
        </w:tc>
        <w:tc>
          <w:tcPr>
            <w:tcW w:type="dxa" w:w="336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~£/month at 100k inv/mo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ECS Fargate (API + MCP + worker)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~£100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~£500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RDS Postgres (Multi-AZ)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~£60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~£150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ElastiCache Redis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~£30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~£80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EventBridge + SQS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~£5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~£25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ALB + CloudFront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~£20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~£50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S3 + data transfer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~£10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~£30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Qdrant Cloud (external)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~£50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~£200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Neo4j Aura (external)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~£30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~£100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OpenAI API (embeddings)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~£30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~£300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Anthropic API (LLM, with caching)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~£20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~£150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Langfuse (external)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~£0 (hobby/free)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~£50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Monitoring + misc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~£20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~£40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TOTAL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~£375/month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~£1,675/month</w:t>
            </w:r>
          </w:p>
        </w:tc>
      </w:tr>
    </w:tbl>
    <w:p/>
    <w:p>
      <w:r>
        <w:rPr>
          <w:rFonts w:ascii="Arial" w:cs="Arial" w:eastAsia="Arial" w:hAnsi="Arial"/>
          <w:color w:val="6B7280"/>
          <w:sz w:val="18"/>
          <w:szCs w:val="18"/>
        </w:rPr>
        <w:t xml:space="preserve">Contact: miles.waite@akkoda.com | github.com/Milesy1/ap-automation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2026-10-15T20:03:16.050Z</dcterms:created>
  <dcterms:modified xsi:type="dcterms:W3CDTF">2026-10-15T20:03:16.050Z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