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AP Automation -- MCP and FastMCP Integration</w:t>
      </w:r>
    </w:p>
    <w:p>
      <w:r>
        <w:rPr>
          <w:rFonts w:ascii="Arial" w:cs="Arial" w:eastAsia="Arial" w:hAnsi="Arial"/>
          <w:sz w:val="20"/>
          <w:szCs w:val="20"/>
        </w:rPr>
        <w:t xml:space="preserve">Covers Model Context Protocol (MCP) and FastMCP as a first-class integration layer -- enabling any MCP-compatible client (Claude Desktop, Claude Code, Cursor, custom agents) to interact directly with the AP Automation system via standardised tool calls. Includes A2A interoperability and streaming tool responses.</w:t>
      </w:r>
    </w:p>
    <w:p>
      <w:r>
        <w:rPr>
          <w:rFonts w:ascii="Arial" w:cs="Arial" w:eastAsia="Arial" w:hAnsi="Arial"/>
          <w:sz w:val="20"/>
          <w:szCs w:val="20"/>
        </w:rPr>
        <w:t xml:space="preserve">October 2026 | Form Consulting Services | Akkoda</w:t>
      </w:r>
    </w:p>
    <w:p/>
    <w:p>
      <w:pPr>
        <w:pStyle w:val="Heading1"/>
      </w:pPr>
      <w:r>
        <w:t xml:space="preserve">1. What is MCP?</w:t>
      </w:r>
    </w:p>
    <w:p>
      <w:r>
        <w:rPr>
          <w:rFonts w:ascii="Arial" w:cs="Arial" w:eastAsia="Arial" w:hAnsi="Arial"/>
          <w:sz w:val="20"/>
          <w:szCs w:val="20"/>
        </w:rPr>
        <w:t xml:space="preserve">Model Context Protocol (MCP) is an open standard developed by Anthropic for connecting AI models to external tools, data sources, and systems. It defines a standard interface -- tools, resources, and prompts -- that any MCP-compatible client can discover and call at runtime.</w:t>
      </w:r>
    </w:p>
    <w:p/>
    <w:p>
      <w:r>
        <w:rPr>
          <w:rFonts w:ascii="Arial" w:cs="Arial" w:eastAsia="Arial" w:hAnsi="Arial"/>
          <w:sz w:val="20"/>
          <w:szCs w:val="20"/>
        </w:rPr>
        <w:t xml:space="preserve">In the AP Automation context, MCP turns the middleware into a first-class AI integration surface. Instead of building custom API integrations for every AI client, the AP system is exposed once as an MCP server and every compatible client can use it immediately.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color="E2E8F0" w:val="clear"/>
          </w:tcPr>
          <w:p>
            <w:r>
              <w:rPr>
                <w:rFonts w:ascii="Arial" w:cs="Arial" w:eastAsia="Arial" w:hAnsi="Arial"/>
                <w:b/>
                <w:bCs/>
                <w:sz w:val="18"/>
                <w:szCs w:val="18"/>
              </w:rPr>
              <w:t xml:space="preserve">Without MCP</w:t>
            </w:r>
          </w:p>
        </w:tc>
        <w:tc>
          <w:tcPr>
            <w:tcW w:type="dxa" w:w="4680"/>
            <w:shd w:color="E2E8F0" w:val="clear"/>
          </w:tcPr>
          <w:p>
            <w:r>
              <w:rPr>
                <w:rFonts w:ascii="Arial" w:cs="Arial" w:eastAsia="Arial" w:hAnsi="Arial"/>
                <w:b/>
                <w:bCs/>
                <w:sz w:val="18"/>
                <w:szCs w:val="18"/>
              </w:rPr>
              <w:t xml:space="preserve">With MCP</w:t>
            </w:r>
          </w:p>
        </w:tc>
      </w:tr>
      <w:tr>
        <w:tc>
          <w:p>
            <w:r>
              <w:rPr>
                <w:rFonts w:ascii="Arial" w:cs="Arial" w:eastAsia="Arial" w:hAnsi="Arial"/>
                <w:b w:val="false"/>
                <w:bCs w:val="false"/>
                <w:sz w:val="18"/>
                <w:szCs w:val="18"/>
              </w:rPr>
              <w:t xml:space="preserve">Custom integration per AI client</w:t>
            </w:r>
          </w:p>
        </w:tc>
        <w:tc>
          <w:p>
            <w:r>
              <w:rPr>
                <w:rFonts w:ascii="Arial" w:cs="Arial" w:eastAsia="Arial" w:hAnsi="Arial"/>
                <w:b w:val="false"/>
                <w:bCs w:val="false"/>
                <w:sz w:val="18"/>
                <w:szCs w:val="18"/>
              </w:rPr>
              <w:t xml:space="preserve">One server, any compatible client</w:t>
            </w:r>
          </w:p>
        </w:tc>
      </w:tr>
      <w:tr>
        <w:tc>
          <w:p>
            <w:r>
              <w:rPr>
                <w:rFonts w:ascii="Arial" w:cs="Arial" w:eastAsia="Arial" w:hAnsi="Arial"/>
                <w:b w:val="false"/>
                <w:bCs w:val="false"/>
                <w:sz w:val="18"/>
                <w:szCs w:val="18"/>
              </w:rPr>
              <w:t xml:space="preserve">API keys and auth managed per integration</w:t>
            </w:r>
          </w:p>
        </w:tc>
        <w:tc>
          <w:p>
            <w:r>
              <w:rPr>
                <w:rFonts w:ascii="Arial" w:cs="Arial" w:eastAsia="Arial" w:hAnsi="Arial"/>
                <w:b w:val="false"/>
                <w:bCs w:val="false"/>
                <w:sz w:val="18"/>
                <w:szCs w:val="18"/>
              </w:rPr>
              <w:t xml:space="preserve">MCP handles transport and auth uniformly</w:t>
            </w:r>
          </w:p>
        </w:tc>
      </w:tr>
      <w:tr>
        <w:tc>
          <w:p>
            <w:r>
              <w:rPr>
                <w:rFonts w:ascii="Arial" w:cs="Arial" w:eastAsia="Arial" w:hAnsi="Arial"/>
                <w:b w:val="false"/>
                <w:bCs w:val="false"/>
                <w:sz w:val="18"/>
                <w:szCs w:val="18"/>
              </w:rPr>
              <w:t xml:space="preserve">Tool schemas duplicated across clients</w:t>
            </w:r>
          </w:p>
        </w:tc>
        <w:tc>
          <w:p>
            <w:r>
              <w:rPr>
                <w:rFonts w:ascii="Arial" w:cs="Arial" w:eastAsia="Arial" w:hAnsi="Arial"/>
                <w:b w:val="false"/>
                <w:bCs w:val="false"/>
                <w:sz w:val="18"/>
                <w:szCs w:val="18"/>
              </w:rPr>
              <w:t xml:space="preserve">Single tool definition, auto-discovered</w:t>
            </w:r>
          </w:p>
        </w:tc>
      </w:tr>
      <w:tr>
        <w:tc>
          <w:p>
            <w:r>
              <w:rPr>
                <w:rFonts w:ascii="Arial" w:cs="Arial" w:eastAsia="Arial" w:hAnsi="Arial"/>
                <w:b w:val="false"/>
                <w:bCs w:val="false"/>
                <w:sz w:val="18"/>
                <w:szCs w:val="18"/>
              </w:rPr>
              <w:t xml:space="preserve">Breaking changes require updating every client</w:t>
            </w:r>
          </w:p>
        </w:tc>
        <w:tc>
          <w:p>
            <w:r>
              <w:rPr>
                <w:rFonts w:ascii="Arial" w:cs="Arial" w:eastAsia="Arial" w:hAnsi="Arial"/>
                <w:b w:val="false"/>
                <w:bCs w:val="false"/>
                <w:sz w:val="18"/>
                <w:szCs w:val="18"/>
              </w:rPr>
              <w:t xml:space="preserve">Clients re-discover updated tool schemas at runtime</w:t>
            </w:r>
          </w:p>
        </w:tc>
      </w:tr>
      <w:tr>
        <w:tc>
          <w:p>
            <w:r>
              <w:rPr>
                <w:rFonts w:ascii="Arial" w:cs="Arial" w:eastAsia="Arial" w:hAnsi="Arial"/>
                <w:b w:val="false"/>
                <w:bCs w:val="false"/>
                <w:sz w:val="18"/>
                <w:szCs w:val="18"/>
              </w:rPr>
              <w:t xml:space="preserve">No standard for resource or prompt exposure</w:t>
            </w:r>
          </w:p>
        </w:tc>
        <w:tc>
          <w:p>
            <w:r>
              <w:rPr>
                <w:rFonts w:ascii="Arial" w:cs="Arial" w:eastAsia="Arial" w:hAnsi="Arial"/>
                <w:b w:val="false"/>
                <w:bCs w:val="false"/>
                <w:sz w:val="18"/>
                <w:szCs w:val="18"/>
              </w:rPr>
              <w:t xml:space="preserve">Resources and prompts first-class citizens</w:t>
            </w:r>
          </w:p>
        </w:tc>
      </w:tr>
      <w:tr>
        <w:tc>
          <w:p>
            <w:r>
              <w:rPr>
                <w:rFonts w:ascii="Arial" w:cs="Arial" w:eastAsia="Arial" w:hAnsi="Arial"/>
                <w:b w:val="false"/>
                <w:bCs w:val="false"/>
                <w:sz w:val="18"/>
                <w:szCs w:val="18"/>
              </w:rPr>
              <w:t xml:space="preserve">No standard for inter-agent communication</w:t>
            </w:r>
          </w:p>
        </w:tc>
        <w:tc>
          <w:p>
            <w:r>
              <w:rPr>
                <w:rFonts w:ascii="Arial" w:cs="Arial" w:eastAsia="Arial" w:hAnsi="Arial"/>
                <w:b w:val="false"/>
                <w:bCs w:val="false"/>
                <w:sz w:val="18"/>
                <w:szCs w:val="18"/>
              </w:rPr>
              <w:t xml:space="preserve">A2A protocol enables agent-to-agent via MCP transport</w:t>
            </w:r>
          </w:p>
        </w:tc>
      </w:tr>
    </w:tbl>
    <w:p/>
    <w:p>
      <w:pPr>
        <w:pStyle w:val="Heading1"/>
      </w:pPr>
      <w:r>
        <w:t xml:space="preserve">2. What is FastMCP?</w:t>
      </w:r>
    </w:p>
    <w:p>
      <w:r>
        <w:rPr>
          <w:rFonts w:ascii="Arial" w:cs="Arial" w:eastAsia="Arial" w:hAnsi="Arial"/>
          <w:sz w:val="20"/>
          <w:szCs w:val="20"/>
        </w:rPr>
        <w:t xml:space="preserve">FastMCP is a Python framework for building MCP servers quickly and idiomatically. It wraps the MCP protocol in a decorator-based API that feels like FastAPI -- functions become tools, return values become resources, and the protocol scaffolding is handled automatically.</w:t>
      </w:r>
    </w:p>
    <w:p/>
    <w:p>
      <w:pPr>
        <w:pStyle w:val="ListParagraph"/>
        <w:numPr>
          <w:ilvl w:val="0"/>
          <w:numId w:val="2"/>
        </w:numPr>
        <w:spacing w:after="60"/>
      </w:pPr>
      <w:r>
        <w:t xml:space="preserve">pip install fastmcp -- single dependency</w:t>
      </w:r>
    </w:p>
    <w:p>
      <w:pPr>
        <w:pStyle w:val="ListParagraph"/>
        <w:numPr>
          <w:ilvl w:val="0"/>
          <w:numId w:val="2"/>
        </w:numPr>
        <w:spacing w:after="60"/>
      </w:pPr>
      <w:r>
        <w:t xml:space="preserve">Decorator syntax: @mcp.tool(), @mcp.resource(), @mcp.prompt()</w:t>
      </w:r>
    </w:p>
    <w:p>
      <w:pPr>
        <w:pStyle w:val="ListParagraph"/>
        <w:numPr>
          <w:ilvl w:val="0"/>
          <w:numId w:val="2"/>
        </w:numPr>
        <w:spacing w:after="60"/>
      </w:pPr>
      <w:r>
        <w:t xml:space="preserve">Type-safe: input/output schemas auto-generated from Python type hints</w:t>
      </w:r>
    </w:p>
    <w:p>
      <w:pPr>
        <w:pStyle w:val="ListParagraph"/>
        <w:numPr>
          <w:ilvl w:val="0"/>
          <w:numId w:val="2"/>
        </w:numPr>
        <w:spacing w:after="60"/>
      </w:pPr>
      <w:r>
        <w:t xml:space="preserve">Async-first: all handlers can be async</w:t>
      </w:r>
    </w:p>
    <w:p>
      <w:pPr>
        <w:pStyle w:val="ListParagraph"/>
        <w:numPr>
          <w:ilvl w:val="0"/>
          <w:numId w:val="2"/>
        </w:numPr>
        <w:spacing w:after="60"/>
      </w:pPr>
      <w:r>
        <w:t xml:space="preserve">Streaming: tools can yield streaming responses via AsyncGenerator</w:t>
      </w:r>
    </w:p>
    <w:p>
      <w:pPr>
        <w:pStyle w:val="ListParagraph"/>
        <w:numPr>
          <w:ilvl w:val="0"/>
          <w:numId w:val="2"/>
        </w:numPr>
        <w:spacing w:after="60"/>
      </w:pPr>
      <w:r>
        <w:t xml:space="preserve">Transport: stdio (local), SSE (remote/hosted), WebSocket</w:t>
      </w:r>
    </w:p>
    <w:p>
      <w:pPr>
        <w:pStyle w:val="ListParagraph"/>
        <w:numPr>
          <w:ilvl w:val="0"/>
          <w:numId w:val="2"/>
        </w:numPr>
        <w:spacing w:after="60"/>
      </w:pPr>
      <w:r>
        <w:t xml:space="preserve">Auth: OAuth2 and API key support built in</w:t>
      </w:r>
    </w:p>
    <w:p>
      <w:pPr>
        <w:pStyle w:val="ListParagraph"/>
        <w:numPr>
          <w:ilvl w:val="0"/>
          <w:numId w:val="2"/>
        </w:numPr>
        <w:spacing w:after="60"/>
      </w:pPr>
      <w:r>
        <w:t xml:space="preserve">Compatible with all MCP clients: Claude Desktop, Claude Code, Cursor, LangGraph, custom agents</w:t>
      </w:r>
    </w:p>
    <w:p>
      <w:pPr>
        <w:pStyle w:val="ListParagraph"/>
        <w:numPr>
          <w:ilvl w:val="0"/>
          <w:numId w:val="2"/>
        </w:numPr>
        <w:spacing w:after="60"/>
      </w:pPr>
      <w:r>
        <w:t xml:space="preserve">A2A interoperability: FastMCP servers can expose an A2A AgentCard endpoint -- making them discoverable by A2A-compatible orchestrators</w:t>
      </w:r>
    </w:p>
    <w:p/>
    <w:p>
      <w:pPr>
        <w:pStyle w:val="Heading1"/>
      </w:pPr>
      <w:r>
        <w:t xml:space="preserve">3. AP Automation MCP Server Design</w:t>
      </w:r>
    </w:p>
    <w:p/>
    <w:p>
      <w:pPr>
        <w:pStyle w:val="Heading2"/>
      </w:pPr>
      <w:r>
        <w:t xml:space="preserve">3.1 Architecture</w:t>
      </w:r>
    </w:p>
    <w:p>
      <w:pPr>
        <w:pStyle w:val="ListParagraph"/>
        <w:numPr>
          <w:ilvl w:val="0"/>
          <w:numId w:val="2"/>
        </w:numPr>
        <w:spacing w:after="60"/>
      </w:pPr>
      <w:r>
        <w:t xml:space="preserve">MCP server: FastMCP, Python 3.12+</w:t>
      </w:r>
    </w:p>
    <w:p>
      <w:pPr>
        <w:pStyle w:val="ListParagraph"/>
        <w:numPr>
          <w:ilvl w:val="0"/>
          <w:numId w:val="2"/>
        </w:numPr>
        <w:spacing w:after="60"/>
      </w:pPr>
      <w:r>
        <w:t xml:space="preserve">Transport: SSE for hosted deployment (claude.ai connectors, remote agents), stdio for local Claude Desktop/Code</w:t>
      </w:r>
    </w:p>
    <w:p>
      <w:pPr>
        <w:pStyle w:val="ListParagraph"/>
        <w:numPr>
          <w:ilvl w:val="0"/>
          <w:numId w:val="2"/>
        </w:numPr>
        <w:spacing w:after="60"/>
      </w:pPr>
      <w:r>
        <w:t xml:space="preserve">Auth: API key per tenant, passed as MCP auth header</w:t>
      </w:r>
    </w:p>
    <w:p>
      <w:pPr>
        <w:pStyle w:val="ListParagraph"/>
        <w:numPr>
          <w:ilvl w:val="0"/>
          <w:numId w:val="2"/>
        </w:numPr>
        <w:spacing w:after="60"/>
      </w:pPr>
      <w:r>
        <w:t xml:space="preserve">Hosted at: mcp.ap-automation.akkoda.com</w:t>
      </w:r>
    </w:p>
    <w:p>
      <w:pPr>
        <w:pStyle w:val="ListParagraph"/>
        <w:numPr>
          <w:ilvl w:val="0"/>
          <w:numId w:val="2"/>
        </w:numPr>
        <w:spacing w:after="60"/>
      </w:pPr>
      <w:r>
        <w:t xml:space="preserve">Local: configure in Claude Desktop settings -- command: python -m ap_automation.mcp_server</w:t>
      </w:r>
    </w:p>
    <w:p>
      <w:pPr>
        <w:pStyle w:val="ListParagraph"/>
        <w:numPr>
          <w:ilvl w:val="0"/>
          <w:numId w:val="2"/>
        </w:numPr>
        <w:spacing w:after="60"/>
      </w:pPr>
      <w:r>
        <w:t xml:space="preserve">A2A AgentCard: published at /.well-known/agent.json -- enables A2A orchestrators to discover and call the MCP server as an agent</w:t>
      </w:r>
    </w:p>
    <w:p/>
    <w:p>
      <w:pPr>
        <w:pStyle w:val="Heading2"/>
      </w:pPr>
      <w:r>
        <w:t xml:space="preserve">3.2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4000"/>
        <w:gridCol w:w="2860"/>
      </w:tblGrid>
      <w:tr>
        <w:trPr>
          <w:tblHeader/>
        </w:trPr>
        <w:tc>
          <w:tcPr>
            <w:tcW w:type="dxa" w:w="2500"/>
            <w:shd w:color="E2E8F0" w:val="clear"/>
          </w:tcPr>
          <w:p>
            <w:r>
              <w:rPr>
                <w:rFonts w:ascii="Arial" w:cs="Arial" w:eastAsia="Arial" w:hAnsi="Arial"/>
                <w:b/>
                <w:bCs/>
                <w:sz w:val="18"/>
                <w:szCs w:val="18"/>
              </w:rPr>
              <w:t xml:space="preserve">Tool name</w:t>
            </w:r>
          </w:p>
        </w:tc>
        <w:tc>
          <w:tcPr>
            <w:tcW w:type="dxa" w:w="4000"/>
            <w:shd w:color="E2E8F0" w:val="clear"/>
          </w:tcPr>
          <w:p>
            <w:r>
              <w:rPr>
                <w:rFonts w:ascii="Arial" w:cs="Arial" w:eastAsia="Arial" w:hAnsi="Arial"/>
                <w:b/>
                <w:bCs/>
                <w:sz w:val="18"/>
                <w:szCs w:val="18"/>
              </w:rPr>
              <w:t xml:space="preserve">Description</w:t>
            </w:r>
          </w:p>
        </w:tc>
        <w:tc>
          <w:tcPr>
            <w:tcW w:type="dxa" w:w="2860"/>
            <w:shd w:color="E2E8F0" w:val="clear"/>
          </w:tcPr>
          <w:p>
            <w:r>
              <w:rPr>
                <w:rFonts w:ascii="Arial" w:cs="Arial" w:eastAsia="Arial" w:hAnsi="Arial"/>
                <w:b/>
                <w:bCs/>
                <w:sz w:val="18"/>
                <w:szCs w:val="18"/>
              </w:rPr>
              <w:t xml:space="preserve">Input</w:t>
            </w:r>
          </w:p>
        </w:tc>
      </w:tr>
      <w:tr>
        <w:tc>
          <w:p>
            <w:r>
              <w:rPr>
                <w:rFonts w:ascii="Arial" w:cs="Arial" w:eastAsia="Arial" w:hAnsi="Arial"/>
                <w:b w:val="false"/>
                <w:bCs w:val="false"/>
                <w:sz w:val="18"/>
                <w:szCs w:val="18"/>
              </w:rPr>
              <w:t xml:space="preserve">predict_invoice</w:t>
            </w:r>
          </w:p>
        </w:tc>
        <w:tc>
          <w:p>
            <w:r>
              <w:rPr>
                <w:rFonts w:ascii="Arial" w:cs="Arial" w:eastAsia="Arial" w:hAnsi="Arial"/>
                <w:b w:val="false"/>
                <w:bCs w:val="false"/>
                <w:sz w:val="18"/>
                <w:szCs w:val="18"/>
              </w:rPr>
              <w:t xml:space="preserve">Full prediction pipeline -- returns GL code, confidence, routing decision, evidence lines, streaming explanation</w:t>
            </w:r>
          </w:p>
        </w:tc>
        <w:tc>
          <w:p>
            <w:r>
              <w:rPr>
                <w:rFonts w:ascii="Arial" w:cs="Arial" w:eastAsia="Arial" w:hAnsi="Arial"/>
                <w:b w:val="false"/>
                <w:bCs w:val="false"/>
                <w:sz w:val="18"/>
                <w:szCs w:val="18"/>
              </w:rPr>
              <w:t xml:space="preserve">vendor, description, amount, currency, entity_id</w:t>
            </w:r>
          </w:p>
        </w:tc>
      </w:tr>
      <w:tr>
        <w:tc>
          <w:p>
            <w:r>
              <w:rPr>
                <w:rFonts w:ascii="Arial" w:cs="Arial" w:eastAsia="Arial" w:hAnsi="Arial"/>
                <w:b w:val="false"/>
                <w:bCs w:val="false"/>
                <w:sz w:val="18"/>
                <w:szCs w:val="18"/>
              </w:rPr>
              <w:t xml:space="preserve">confirm_invoice</w:t>
            </w:r>
          </w:p>
        </w:tc>
        <w:tc>
          <w:p>
            <w:r>
              <w:rPr>
                <w:rFonts w:ascii="Arial" w:cs="Arial" w:eastAsia="Arial" w:hAnsi="Arial"/>
                <w:b w:val="false"/>
                <w:bCs w:val="false"/>
                <w:sz w:val="18"/>
                <w:szCs w:val="18"/>
              </w:rPr>
              <w:t xml:space="preserve">Confirm a prediction and post to ERP -- triggers write-back to corpus</w:t>
            </w:r>
          </w:p>
        </w:tc>
        <w:tc>
          <w:p>
            <w:r>
              <w:rPr>
                <w:rFonts w:ascii="Arial" w:cs="Arial" w:eastAsia="Arial" w:hAnsi="Arial"/>
                <w:b w:val="false"/>
                <w:bCs w:val="false"/>
                <w:sz w:val="18"/>
                <w:szCs w:val="18"/>
              </w:rPr>
              <w:t xml:space="preserve">invoice_id, confirmed_gl, confirmed_cost_centre</w:t>
            </w:r>
          </w:p>
        </w:tc>
      </w:tr>
      <w:tr>
        <w:tc>
          <w:p>
            <w:r>
              <w:rPr>
                <w:rFonts w:ascii="Arial" w:cs="Arial" w:eastAsia="Arial" w:hAnsi="Arial"/>
                <w:b w:val="false"/>
                <w:bCs w:val="false"/>
                <w:sz w:val="18"/>
                <w:szCs w:val="18"/>
              </w:rPr>
              <w:t xml:space="preserve">get_vendor_gl_history</w:t>
            </w:r>
          </w:p>
        </w:tc>
        <w:tc>
          <w:p>
            <w:r>
              <w:rPr>
                <w:rFonts w:ascii="Arial" w:cs="Arial" w:eastAsia="Arial" w:hAnsi="Arial"/>
                <w:b w:val="false"/>
                <w:bCs w:val="false"/>
                <w:sz w:val="18"/>
                <w:szCs w:val="18"/>
              </w:rPr>
              <w:t xml:space="preserve">GL distribution for a vendor from corpus -- top codes, confidence, last confirmation date</w:t>
            </w:r>
          </w:p>
        </w:tc>
        <w:tc>
          <w:p>
            <w:r>
              <w:rPr>
                <w:rFonts w:ascii="Arial" w:cs="Arial" w:eastAsia="Arial" w:hAnsi="Arial"/>
                <w:b w:val="false"/>
                <w:bCs w:val="false"/>
                <w:sz w:val="18"/>
                <w:szCs w:val="18"/>
              </w:rPr>
              <w:t xml:space="preserve">vendor_name</w:t>
            </w:r>
          </w:p>
        </w:tc>
      </w:tr>
      <w:tr>
        <w:tc>
          <w:p>
            <w:r>
              <w:rPr>
                <w:rFonts w:ascii="Arial" w:cs="Arial" w:eastAsia="Arial" w:hAnsi="Arial"/>
                <w:b w:val="false"/>
                <w:bCs w:val="false"/>
                <w:sz w:val="18"/>
                <w:szCs w:val="18"/>
              </w:rPr>
              <w:t xml:space="preserve">get_invoice_evidence</w:t>
            </w:r>
          </w:p>
        </w:tc>
        <w:tc>
          <w:p>
            <w:r>
              <w:rPr>
                <w:rFonts w:ascii="Arial" w:cs="Arial" w:eastAsia="Arial" w:hAnsi="Arial"/>
                <w:b w:val="false"/>
                <w:bCs w:val="false"/>
                <w:sz w:val="18"/>
                <w:szCs w:val="18"/>
              </w:rPr>
              <w:t xml:space="preserve">Retrieval only -- top-10 similar historical lines without scoring or routing</w:t>
            </w:r>
          </w:p>
        </w:tc>
        <w:tc>
          <w:p>
            <w:r>
              <w:rPr>
                <w:rFonts w:ascii="Arial" w:cs="Arial" w:eastAsia="Arial" w:hAnsi="Arial"/>
                <w:b w:val="false"/>
                <w:bCs w:val="false"/>
                <w:sz w:val="18"/>
                <w:szCs w:val="18"/>
              </w:rPr>
              <w:t xml:space="preserve">description, vendor_name, amount</w:t>
            </w:r>
          </w:p>
        </w:tc>
      </w:tr>
      <w:tr>
        <w:tc>
          <w:p>
            <w:r>
              <w:rPr>
                <w:rFonts w:ascii="Arial" w:cs="Arial" w:eastAsia="Arial" w:hAnsi="Arial"/>
                <w:b w:val="false"/>
                <w:bCs w:val="false"/>
                <w:sz w:val="18"/>
                <w:szCs w:val="18"/>
              </w:rPr>
              <w:t xml:space="preserve">get_audit_record</w:t>
            </w:r>
          </w:p>
        </w:tc>
        <w:tc>
          <w:p>
            <w:r>
              <w:rPr>
                <w:rFonts w:ascii="Arial" w:cs="Arial" w:eastAsia="Arial" w:hAnsi="Arial"/>
                <w:b w:val="false"/>
                <w:bCs w:val="false"/>
                <w:sz w:val="18"/>
                <w:szCs w:val="18"/>
              </w:rPr>
              <w:t xml:space="preserve">Full provenance JSON for a specific invoice -- evidence, confidence, routing reason, citations</w:t>
            </w:r>
          </w:p>
        </w:tc>
        <w:tc>
          <w:p>
            <w:r>
              <w:rPr>
                <w:rFonts w:ascii="Arial" w:cs="Arial" w:eastAsia="Arial" w:hAnsi="Arial"/>
                <w:b w:val="false"/>
                <w:bCs w:val="false"/>
                <w:sz w:val="18"/>
                <w:szCs w:val="18"/>
              </w:rPr>
              <w:t xml:space="preserve">invoice_id</w:t>
            </w:r>
          </w:p>
        </w:tc>
      </w:tr>
      <w:tr>
        <w:tc>
          <w:p>
            <w:r>
              <w:rPr>
                <w:rFonts w:ascii="Arial" w:cs="Arial" w:eastAsia="Arial" w:hAnsi="Arial"/>
                <w:b w:val="false"/>
                <w:bCs w:val="false"/>
                <w:sz w:val="18"/>
                <w:szCs w:val="18"/>
              </w:rPr>
              <w:t xml:space="preserve">get_erp_postings</w:t>
            </w:r>
          </w:p>
        </w:tc>
        <w:tc>
          <w:p>
            <w:r>
              <w:rPr>
                <w:rFonts w:ascii="Arial" w:cs="Arial" w:eastAsia="Arial" w:hAnsi="Arial"/>
                <w:b w:val="false"/>
                <w:bCs w:val="false"/>
                <w:sz w:val="18"/>
                <w:szCs w:val="18"/>
              </w:rPr>
              <w:t xml:space="preserve">Query ERP ledger -- filter by vendor, GL code, date range, amount band</w:t>
            </w:r>
          </w:p>
        </w:tc>
        <w:tc>
          <w:p>
            <w:r>
              <w:rPr>
                <w:rFonts w:ascii="Arial" w:cs="Arial" w:eastAsia="Arial" w:hAnsi="Arial"/>
                <w:b w:val="false"/>
                <w:bCs w:val="false"/>
                <w:sz w:val="18"/>
                <w:szCs w:val="18"/>
              </w:rPr>
              <w:t xml:space="preserve">vendor?, gl_account?, date_from?, date_to?</w:t>
            </w:r>
          </w:p>
        </w:tc>
      </w:tr>
      <w:tr>
        <w:tc>
          <w:p>
            <w:r>
              <w:rPr>
                <w:rFonts w:ascii="Arial" w:cs="Arial" w:eastAsia="Arial" w:hAnsi="Arial"/>
                <w:b w:val="false"/>
                <w:bCs w:val="false"/>
                <w:sz w:val="18"/>
                <w:szCs w:val="18"/>
              </w:rPr>
              <w:t xml:space="preserve">get_performance_metrics</w:t>
            </w:r>
          </w:p>
        </w:tc>
        <w:tc>
          <w:p>
            <w:r>
              <w:rPr>
                <w:rFonts w:ascii="Arial" w:cs="Arial" w:eastAsia="Arial" w:hAnsi="Arial"/>
                <w:b w:val="false"/>
                <w:bCs w:val="false"/>
                <w:sz w:val="18"/>
                <w:szCs w:val="18"/>
              </w:rPr>
              <w:t xml:space="preserve">Automation rate, accuracy, false positive rate, corpus size for a given period</w:t>
            </w:r>
          </w:p>
        </w:tc>
        <w:tc>
          <w:p>
            <w:r>
              <w:rPr>
                <w:rFonts w:ascii="Arial" w:cs="Arial" w:eastAsia="Arial" w:hAnsi="Arial"/>
                <w:b w:val="false"/>
                <w:bCs w:val="false"/>
                <w:sz w:val="18"/>
                <w:szCs w:val="18"/>
              </w:rPr>
              <w:t xml:space="preserve">period (7d, 30d, 90d)</w:t>
            </w:r>
          </w:p>
        </w:tc>
      </w:tr>
      <w:tr>
        <w:tc>
          <w:p>
            <w:r>
              <w:rPr>
                <w:rFonts w:ascii="Arial" w:cs="Arial" w:eastAsia="Arial" w:hAnsi="Arial"/>
                <w:b w:val="false"/>
                <w:bCs w:val="false"/>
                <w:sz w:val="18"/>
                <w:szCs w:val="18"/>
              </w:rPr>
              <w:t xml:space="preserve">get_corpus_stats</w:t>
            </w:r>
          </w:p>
        </w:tc>
        <w:tc>
          <w:p>
            <w:r>
              <w:rPr>
                <w:rFonts w:ascii="Arial" w:cs="Arial" w:eastAsia="Arial" w:hAnsi="Arial"/>
                <w:b w:val="false"/>
                <w:bCs w:val="false"/>
                <w:sz w:val="18"/>
                <w:szCs w:val="18"/>
              </w:rPr>
              <w:t xml:space="preserve">Corpus size, vendor density, GL distribution, age distribution</w:t>
            </w:r>
          </w:p>
        </w:tc>
        <w:tc>
          <w:p>
            <w:r>
              <w:rPr>
                <w:rFonts w:ascii="Arial" w:cs="Arial" w:eastAsia="Arial" w:hAnsi="Arial"/>
                <w:b w:val="false"/>
                <w:bCs w:val="false"/>
                <w:sz w:val="18"/>
                <w:szCs w:val="18"/>
              </w:rPr>
              <w:t xml:space="preserve">vendor_id? (optional filter)</w:t>
            </w:r>
          </w:p>
        </w:tc>
      </w:tr>
      <w:tr>
        <w:tc>
          <w:p>
            <w:r>
              <w:rPr>
                <w:rFonts w:ascii="Arial" w:cs="Arial" w:eastAsia="Arial" w:hAnsi="Arial"/>
                <w:b w:val="false"/>
                <w:bCs w:val="false"/>
                <w:sz w:val="18"/>
                <w:szCs w:val="18"/>
              </w:rPr>
              <w:t xml:space="preserve">submit_coding_rule</w:t>
            </w:r>
          </w:p>
        </w:tc>
        <w:tc>
          <w:p>
            <w:r>
              <w:rPr>
                <w:rFonts w:ascii="Arial" w:cs="Arial" w:eastAsia="Arial" w:hAnsi="Arial"/>
                <w:b w:val="false"/>
                <w:bCs w:val="false"/>
                <w:sz w:val="18"/>
                <w:szCs w:val="18"/>
              </w:rPr>
              <w:t xml:space="preserve">Natural language coding rule -- parsed by LLM, validated against chart of accounts, stored</w:t>
            </w:r>
          </w:p>
        </w:tc>
        <w:tc>
          <w:p>
            <w:r>
              <w:rPr>
                <w:rFonts w:ascii="Arial" w:cs="Arial" w:eastAsia="Arial" w:hAnsi="Arial"/>
                <w:b w:val="false"/>
                <w:bCs w:val="false"/>
                <w:sz w:val="18"/>
                <w:szCs w:val="18"/>
              </w:rPr>
              <w:t xml:space="preserve">rule_text, submitting_user</w:t>
            </w:r>
          </w:p>
        </w:tc>
      </w:tr>
      <w:tr>
        <w:tc>
          <w:p>
            <w:r>
              <w:rPr>
                <w:rFonts w:ascii="Arial" w:cs="Arial" w:eastAsia="Arial" w:hAnsi="Arial"/>
                <w:b w:val="false"/>
                <w:bCs w:val="false"/>
                <w:sz w:val="18"/>
                <w:szCs w:val="18"/>
              </w:rPr>
              <w:t xml:space="preserve">get_pending_reviews</w:t>
            </w:r>
          </w:p>
        </w:tc>
        <w:tc>
          <w:p>
            <w:r>
              <w:rPr>
                <w:rFonts w:ascii="Arial" w:cs="Arial" w:eastAsia="Arial" w:hAnsi="Arial"/>
                <w:b w:val="false"/>
                <w:bCs w:val="false"/>
                <w:sz w:val="18"/>
                <w:szCs w:val="18"/>
              </w:rPr>
              <w:t xml:space="preserve">Invoices awaiting human review -- count, oldest, SLA status</w:t>
            </w:r>
          </w:p>
        </w:tc>
        <w:tc>
          <w:p>
            <w:r>
              <w:rPr>
                <w:rFonts w:ascii="Arial" w:cs="Arial" w:eastAsia="Arial" w:hAnsi="Arial"/>
                <w:b w:val="false"/>
                <w:bCs w:val="false"/>
                <w:sz w:val="18"/>
                <w:szCs w:val="18"/>
              </w:rPr>
              <w:t xml:space="preserve">none</w:t>
            </w:r>
          </w:p>
        </w:tc>
      </w:tr>
      <w:tr>
        <w:tc>
          <w:p>
            <w:r>
              <w:rPr>
                <w:rFonts w:ascii="Arial" w:cs="Arial" w:eastAsia="Arial" w:hAnsi="Arial"/>
                <w:b w:val="false"/>
                <w:bCs w:val="false"/>
                <w:sz w:val="18"/>
                <w:szCs w:val="18"/>
              </w:rPr>
              <w:t xml:space="preserve">flag_corpus_outlier</w:t>
            </w:r>
          </w:p>
        </w:tc>
        <w:tc>
          <w:p>
            <w:r>
              <w:rPr>
                <w:rFonts w:ascii="Arial" w:cs="Arial" w:eastAsia="Arial" w:hAnsi="Arial"/>
                <w:b w:val="false"/>
                <w:bCs w:val="false"/>
                <w:sz w:val="18"/>
                <w:szCs w:val="18"/>
              </w:rPr>
              <w:t xml:space="preserve">Flag a confirmed invoice as suspected miscoding -- quarantines from future retrieval</w:t>
            </w:r>
          </w:p>
        </w:tc>
        <w:tc>
          <w:p>
            <w:r>
              <w:rPr>
                <w:rFonts w:ascii="Arial" w:cs="Arial" w:eastAsia="Arial" w:hAnsi="Arial"/>
                <w:b w:val="false"/>
                <w:bCs w:val="false"/>
                <w:sz w:val="18"/>
                <w:szCs w:val="18"/>
              </w:rPr>
              <w:t xml:space="preserve">invoice_id, reason</w:t>
            </w:r>
          </w:p>
        </w:tc>
      </w:tr>
      <w:tr>
        <w:tc>
          <w:p>
            <w:r>
              <w:rPr>
                <w:rFonts w:ascii="Arial" w:cs="Arial" w:eastAsia="Arial" w:hAnsi="Arial"/>
                <w:b w:val="false"/>
                <w:bCs w:val="false"/>
                <w:sz w:val="18"/>
                <w:szCs w:val="18"/>
              </w:rPr>
              <w:t xml:space="preserve">stream_explanation</w:t>
            </w:r>
          </w:p>
        </w:tc>
        <w:tc>
          <w:p>
            <w:r>
              <w:rPr>
                <w:rFonts w:ascii="Arial" w:cs="Arial" w:eastAsia="Arial" w:hAnsi="Arial"/>
                <w:b w:val="false"/>
                <w:bCs w:val="false"/>
                <w:sz w:val="18"/>
                <w:szCs w:val="18"/>
              </w:rPr>
              <w:t xml:space="preserve">Streaming explanation for a routed invoice -- yields tokens as generated via AsyncGenerator</w:t>
            </w:r>
          </w:p>
        </w:tc>
        <w:tc>
          <w:p>
            <w:r>
              <w:rPr>
                <w:rFonts w:ascii="Arial" w:cs="Arial" w:eastAsia="Arial" w:hAnsi="Arial"/>
                <w:b w:val="false"/>
                <w:bCs w:val="false"/>
                <w:sz w:val="18"/>
                <w:szCs w:val="18"/>
              </w:rPr>
              <w:t xml:space="preserve">invoice_id</w:t>
            </w:r>
          </w:p>
        </w:tc>
      </w:tr>
    </w:tbl>
    <w:p/>
    <w:p>
      <w:pPr>
        <w:pStyle w:val="Heading2"/>
      </w:pPr>
      <w:r>
        <w:t xml:space="preserve">3.3 Streaming Tool Responses</w:t>
      </w:r>
    </w:p>
    <w:p>
      <w:r>
        <w:rPr>
          <w:rFonts w:ascii="Arial" w:cs="Arial" w:eastAsia="Arial" w:hAnsi="Arial"/>
          <w:sz w:val="20"/>
          <w:szCs w:val="20"/>
        </w:rPr>
        <w:t xml:space="preserve">The stream_explanation tool yields explanation tokens as they are generated, rather than waiting for the full response. This is the MCP equivalent of the streaming API endpoint.</w:t>
      </w:r>
    </w:p>
    <w:p>
      <w:pPr>
        <w:pStyle w:val="ListParagraph"/>
        <w:numPr>
          <w:ilvl w:val="0"/>
          <w:numId w:val="2"/>
        </w:numPr>
        <w:spacing w:after="60"/>
      </w:pPr>
      <w:r>
        <w:t xml:space="preserve">@mcp.tool()</w:t>
      </w:r>
    </w:p>
    <w:p>
      <w:pPr>
        <w:pStyle w:val="ListParagraph"/>
        <w:numPr>
          <w:ilvl w:val="0"/>
          <w:numId w:val="2"/>
        </w:numPr>
        <w:spacing w:after="60"/>
      </w:pPr>
      <w:r>
        <w:t xml:space="preserve">async def stream_explanation(invoice_id: str) -&gt; AsyncGenerator[str, None]:</w:t>
      </w:r>
    </w:p>
    <w:p>
      <w:pPr>
        <w:pStyle w:val="ListParagraph"/>
        <w:numPr>
          <w:ilvl w:val="1"/>
          <w:numId w:val="2"/>
        </w:numPr>
        <w:spacing w:after="60"/>
      </w:pPr>
      <w:r>
        <w:t xml:space="preserve">    """Stream a plain-English explanation for a routed invoice."""</w:t>
      </w:r>
    </w:p>
    <w:p>
      <w:pPr>
        <w:pStyle w:val="ListParagraph"/>
        <w:numPr>
          <w:ilvl w:val="1"/>
          <w:numId w:val="2"/>
        </w:numPr>
        <w:spacing w:after="60"/>
      </w:pPr>
      <w:r>
        <w:t xml:space="preserve">    async for token in explanation_agent.stream(invoice_id):</w:t>
      </w:r>
    </w:p>
    <w:p>
      <w:pPr>
        <w:pStyle w:val="ListParagraph"/>
        <w:numPr>
          <w:ilvl w:val="1"/>
          <w:numId w:val="2"/>
        </w:numPr>
        <w:spacing w:after="60"/>
      </w:pPr>
      <w:r>
        <w:t xml:space="preserve">        yield token</w:t>
      </w:r>
    </w:p>
    <w:p/>
    <w:p>
      <w:pPr>
        <w:pStyle w:val="ListParagraph"/>
        <w:numPr>
          <w:ilvl w:val="0"/>
          <w:numId w:val="2"/>
        </w:numPr>
        <w:spacing w:after="60"/>
      </w:pPr>
      <w:r>
        <w:t xml:space="preserve">MCP clients that support streaming (Claude Desktop, Claude Code) render tokens as they arrive</w:t>
      </w:r>
    </w:p>
    <w:p>
      <w:pPr>
        <w:pStyle w:val="ListParagraph"/>
        <w:numPr>
          <w:ilvl w:val="0"/>
          <w:numId w:val="2"/>
        </w:numPr>
        <w:spacing w:after="60"/>
      </w:pPr>
      <w:r>
        <w:t xml:space="preserve">MCP clients that do not support streaming receive the full response after generation completes -- graceful fallback</w:t>
      </w:r>
    </w:p>
    <w:p/>
    <w:p>
      <w:pPr>
        <w:pStyle w:val="Heading2"/>
      </w:pPr>
      <w:r>
        <w:t xml:space="preserve">3.4 Resources</w:t>
      </w:r>
    </w:p>
    <w:p>
      <w:pPr>
        <w:pStyle w:val="ListParagraph"/>
        <w:numPr>
          <w:ilvl w:val="0"/>
          <w:numId w:val="2"/>
        </w:numPr>
        <w:spacing w:after="60"/>
      </w:pPr>
      <w:r>
        <w:t xml:space="preserve">aria://corpus/stats -- current corpus size, vendor distribution, GL distribution</w:t>
      </w:r>
    </w:p>
    <w:p>
      <w:pPr>
        <w:pStyle w:val="ListParagraph"/>
        <w:numPr>
          <w:ilvl w:val="0"/>
          <w:numId w:val="2"/>
        </w:numPr>
        <w:spacing w:after="60"/>
      </w:pPr>
      <w:r>
        <w:t xml:space="preserve">aria://performance/latest -- most recent batch results and automation rate</w:t>
      </w:r>
    </w:p>
    <w:p>
      <w:pPr>
        <w:pStyle w:val="ListParagraph"/>
        <w:numPr>
          <w:ilvl w:val="0"/>
          <w:numId w:val="2"/>
        </w:numPr>
        <w:spacing w:after="60"/>
      </w:pPr>
      <w:r>
        <w:t xml:space="preserve">aria://rules/active -- all active coding rules for the tenant</w:t>
      </w:r>
    </w:p>
    <w:p>
      <w:pPr>
        <w:pStyle w:val="ListParagraph"/>
        <w:numPr>
          <w:ilvl w:val="0"/>
          <w:numId w:val="2"/>
        </w:numPr>
        <w:spacing w:after="60"/>
      </w:pPr>
      <w:r>
        <w:t xml:space="preserve">aria://chart-of-accounts -- full GL code list with descriptions</w:t>
      </w:r>
    </w:p>
    <w:p>
      <w:pPr>
        <w:pStyle w:val="ListParagraph"/>
        <w:numPr>
          <w:ilvl w:val="0"/>
          <w:numId w:val="2"/>
        </w:numPr>
        <w:spacing w:after="60"/>
      </w:pPr>
      <w:r>
        <w:t xml:space="preserve">aria://audit/{invoice_id} -- full audit record for a specific invoice</w:t>
      </w:r>
    </w:p>
    <w:p>
      <w:pPr>
        <w:pStyle w:val="ListParagraph"/>
        <w:numPr>
          <w:ilvl w:val="0"/>
          <w:numId w:val="2"/>
        </w:numPr>
        <w:spacing w:after="60"/>
      </w:pPr>
      <w:r>
        <w:t xml:space="preserve">aria://pending-reviews -- current review queue snapshot</w:t>
      </w:r>
    </w:p>
    <w:p/>
    <w:p>
      <w:pPr>
        <w:pStyle w:val="Heading2"/>
      </w:pPr>
      <w:r>
        <w:t xml:space="preserve">3.5 Prompts</w:t>
      </w:r>
    </w:p>
    <w:p>
      <w:pPr>
        <w:pStyle w:val="ListParagraph"/>
        <w:numPr>
          <w:ilvl w:val="0"/>
          <w:numId w:val="2"/>
        </w:numPr>
        <w:spacing w:after="60"/>
      </w:pPr>
      <w:r>
        <w:t xml:space="preserve">explain_routing -- given an invoice_id, explain in plain English why it was routed to review (uses Citations API)</w:t>
      </w:r>
    </w:p>
    <w:p>
      <w:pPr>
        <w:pStyle w:val="ListParagraph"/>
        <w:numPr>
          <w:ilvl w:val="0"/>
          <w:numId w:val="2"/>
        </w:numPr>
        <w:spacing w:after="60"/>
      </w:pPr>
      <w:r>
        <w:t xml:space="preserve">coding_recommendation -- given a description and vendor, recommend a GL code with reasoning</w:t>
      </w:r>
    </w:p>
    <w:p>
      <w:pPr>
        <w:pStyle w:val="ListParagraph"/>
        <w:numPr>
          <w:ilvl w:val="0"/>
          <w:numId w:val="2"/>
        </w:numPr>
        <w:spacing w:after="60"/>
      </w:pPr>
      <w:r>
        <w:t xml:space="preserve">vendor_analysis -- summarise a vendor coding history, consistency, and confidence trend</w:t>
      </w:r>
    </w:p>
    <w:p>
      <w:pPr>
        <w:pStyle w:val="ListParagraph"/>
        <w:numPr>
          <w:ilvl w:val="0"/>
          <w:numId w:val="2"/>
        </w:numPr>
        <w:spacing w:after="60"/>
      </w:pPr>
      <w:r>
        <w:t xml:space="preserve">batch_summary -- summarise the results of a completed batch run</w:t>
      </w:r>
    </w:p>
    <w:p>
      <w:pPr>
        <w:pStyle w:val="ListParagraph"/>
        <w:numPr>
          <w:ilvl w:val="0"/>
          <w:numId w:val="2"/>
        </w:numPr>
        <w:spacing w:after="60"/>
      </w:pPr>
      <w:r>
        <w:t xml:space="preserve">audit_report -- generate a structured audit report for a date range (uses structured output)</w:t>
      </w:r>
    </w:p>
    <w:p/>
    <w:p>
      <w:pPr>
        <w:pStyle w:val="Heading1"/>
      </w:pPr>
      <w:r>
        <w:t xml:space="preserve">4. A2A Interoperability</w:t>
      </w:r>
    </w:p>
    <w:p>
      <w:r>
        <w:rPr>
          <w:rFonts w:ascii="Arial" w:cs="Arial" w:eastAsia="Arial" w:hAnsi="Arial"/>
          <w:sz w:val="20"/>
          <w:szCs w:val="20"/>
        </w:rPr>
        <w:t xml:space="preserve">The MCP server exposes an A2A AgentCard, making it discoverable and callable by A2A-compatible orchestrators. This enables the AP Automation system to participate in multi-agent workflows alongside other specialised agents.</w:t>
      </w:r>
    </w:p>
    <w:p/>
    <w:p>
      <w:pPr>
        <w:pStyle w:val="Heading2"/>
      </w:pPr>
      <w:r>
        <w:t xml:space="preserve">4.1 AgentCard</w:t>
      </w:r>
    </w:p>
    <w:p>
      <w:pPr>
        <w:pStyle w:val="ListParagraph"/>
        <w:numPr>
          <w:ilvl w:val="0"/>
          <w:numId w:val="2"/>
        </w:numPr>
        <w:spacing w:after="60"/>
      </w:pPr>
      <w:r>
        <w:t xml:space="preserve">Published at: https://mcp.ap-automation.akkoda.com/.well-known/agent.json</w:t>
      </w:r>
    </w:p>
    <w:p>
      <w:pPr>
        <w:pStyle w:val="ListParagraph"/>
        <w:numPr>
          <w:ilvl w:val="0"/>
          <w:numId w:val="2"/>
        </w:numPr>
        <w:spacing w:after="60"/>
      </w:pPr>
      <w:r>
        <w:t xml:space="preserve">Contains: agent name, description, capabilities, tool list, authentication requirements, endpoint URL</w:t>
      </w:r>
    </w:p>
    <w:p>
      <w:pPr>
        <w:pStyle w:val="ListParagraph"/>
        <w:numPr>
          <w:ilvl w:val="0"/>
          <w:numId w:val="2"/>
        </w:numPr>
        <w:spacing w:after="60"/>
      </w:pPr>
      <w:r>
        <w:t xml:space="preserve">Discoverable by: LangGraph A2A supervisor, Google ADK agents, any A2A-compatible orchestrator</w:t>
      </w:r>
    </w:p>
    <w:p>
      <w:pPr>
        <w:pStyle w:val="ListParagraph"/>
        <w:numPr>
          <w:ilvl w:val="0"/>
          <w:numId w:val="2"/>
        </w:numPr>
        <w:spacing w:after="60"/>
      </w:pPr>
      <w:r>
        <w:t xml:space="preserve">Versioned: AgentCard version increments when tool schema changes -- orchestrators re-discover automatically</w:t>
      </w:r>
    </w:p>
    <w:p/>
    <w:p>
      <w:pPr>
        <w:pStyle w:val="Heading2"/>
      </w:pPr>
      <w:r>
        <w:t xml:space="preserve">4.2 A2A Use Cases</w:t>
      </w:r>
    </w:p>
    <w:p>
      <w:pPr>
        <w:pStyle w:val="ListParagraph"/>
        <w:numPr>
          <w:ilvl w:val="0"/>
          <w:numId w:val="2"/>
        </w:numPr>
        <w:spacing w:after="60"/>
      </w:pPr>
      <w:r>
        <w:t xml:space="preserve">Multi-agent VAT compliance: AP Automation agent handles GL coding, a specialist VAT agent validates the VAT treatment -- orchestrated via A2A</w:t>
      </w:r>
    </w:p>
    <w:p>
      <w:pPr>
        <w:pStyle w:val="ListParagraph"/>
        <w:numPr>
          <w:ilvl w:val="0"/>
          <w:numId w:val="2"/>
        </w:numPr>
        <w:spacing w:after="60"/>
      </w:pPr>
      <w:r>
        <w:t xml:space="preserve">FX processing: AP Automation predicts GL, an FX agent applies the correct exchange rate and books the hedging entry -- via A2A</w:t>
      </w:r>
    </w:p>
    <w:p>
      <w:pPr>
        <w:pStyle w:val="ListParagraph"/>
        <w:numPr>
          <w:ilvl w:val="0"/>
          <w:numId w:val="2"/>
        </w:numPr>
        <w:spacing w:after="60"/>
      </w:pPr>
      <w:r>
        <w:t xml:space="preserve">Approval workflow: AP Automation routes low-confidence invoices to an approval orchestrator agent that manages the multi-party sign-off -- via A2A</w:t>
      </w:r>
    </w:p>
    <w:p/>
    <w:p>
      <w:pPr>
        <w:pStyle w:val="Heading1"/>
      </w:pPr>
      <w:r>
        <w:t xml:space="preserve">5. FastMCP Implementation</w:t>
      </w:r>
    </w:p>
    <w:p/>
    <w:p>
      <w:pPr>
        <w:pStyle w:val="Heading2"/>
      </w:pPr>
      <w:r>
        <w:t xml:space="preserve">5.1 Server Setup</w:t>
      </w:r>
    </w:p>
    <w:p>
      <w:pPr>
        <w:pStyle w:val="ListParagraph"/>
        <w:numPr>
          <w:ilvl w:val="0"/>
          <w:numId w:val="2"/>
        </w:numPr>
        <w:spacing w:after="60"/>
      </w:pPr>
      <w:r>
        <w:t xml:space="preserve">from fastmcp import FastMCP</w:t>
      </w:r>
    </w:p>
    <w:p>
      <w:pPr>
        <w:pStyle w:val="ListParagraph"/>
        <w:numPr>
          <w:ilvl w:val="0"/>
          <w:numId w:val="2"/>
        </w:numPr>
        <w:spacing w:after="60"/>
      </w:pPr>
      <w:r>
        <w:t xml:space="preserve">from ap_automation.core.pipeline import predict, confirm</w:t>
      </w:r>
    </w:p>
    <w:p>
      <w:pPr>
        <w:pStyle w:val="ListParagraph"/>
        <w:numPr>
          <w:ilvl w:val="0"/>
          <w:numId w:val="2"/>
        </w:numPr>
        <w:spacing w:after="60"/>
      </w:pPr>
      <w:r>
        <w:t xml:space="preserve">from ap_automation.core.retrieval import retrieve</w:t>
      </w:r>
    </w:p>
    <w:p>
      <w:pPr>
        <w:pStyle w:val="ListParagraph"/>
        <w:numPr>
          <w:ilvl w:val="0"/>
          <w:numId w:val="2"/>
        </w:numPr>
        <w:spacing w:after="60"/>
      </w:pPr>
    </w:p>
    <w:p>
      <w:pPr>
        <w:pStyle w:val="ListParagraph"/>
        <w:numPr>
          <w:ilvl w:val="0"/>
          <w:numId w:val="2"/>
        </w:numPr>
        <w:spacing w:after="60"/>
      </w:pPr>
      <w:r>
        <w:t xml:space="preserve">mcp = FastMCP("Aria AP Automation", version="1.0.0", a2a=True)</w:t>
      </w:r>
    </w:p>
    <w:p/>
    <w:p>
      <w:r>
        <w:rPr>
          <w:rFonts w:ascii="Arial" w:cs="Arial" w:eastAsia="Arial" w:hAnsi="Arial"/>
          <w:sz w:val="20"/>
          <w:szCs w:val="20"/>
        </w:rPr>
        <w:t xml:space="preserve">Tool definition example with structured output:</w:t>
      </w:r>
    </w:p>
    <w:p>
      <w:pPr>
        <w:pStyle w:val="ListParagraph"/>
        <w:numPr>
          <w:ilvl w:val="0"/>
          <w:numId w:val="2"/>
        </w:numPr>
        <w:spacing w:after="60"/>
      </w:pPr>
      <w:r>
        <w:t xml:space="preserve">@mcp.tool()</w:t>
      </w:r>
    </w:p>
    <w:p>
      <w:pPr>
        <w:pStyle w:val="ListParagraph"/>
        <w:numPr>
          <w:ilvl w:val="0"/>
          <w:numId w:val="2"/>
        </w:numPr>
        <w:spacing w:after="60"/>
      </w:pPr>
      <w:r>
        <w:t xml:space="preserve">async def predict_invoice(vendor: str, description: str, amount: float, currency: str = "GBP") -&gt; dict:</w:t>
      </w:r>
    </w:p>
    <w:p>
      <w:pPr>
        <w:pStyle w:val="ListParagraph"/>
        <w:numPr>
          <w:ilvl w:val="1"/>
          <w:numId w:val="2"/>
        </w:numPr>
        <w:spacing w:after="60"/>
      </w:pPr>
      <w:r>
        <w:t xml:space="preserve">    """Predict the GL code for a non-PO invoice. Returns structured prediction with evidence."""</w:t>
      </w:r>
    </w:p>
    <w:p>
      <w:pPr>
        <w:pStyle w:val="ListParagraph"/>
        <w:numPr>
          <w:ilvl w:val="1"/>
          <w:numId w:val="2"/>
        </w:numPr>
        <w:spacing w:after="60"/>
      </w:pPr>
      <w:r>
        <w:t xml:space="preserve">    inv = InvoiceLine(raw_vendor_name=vendor, description=description, amount=amount, currency=currency)</w:t>
      </w:r>
    </w:p>
    <w:p>
      <w:pPr>
        <w:pStyle w:val="ListParagraph"/>
        <w:numPr>
          <w:ilvl w:val="1"/>
          <w:numId w:val="2"/>
        </w:numPr>
        <w:spacing w:after="60"/>
      </w:pPr>
      <w:r>
        <w:t xml:space="preserve">    prediction = predict(inv)</w:t>
      </w:r>
    </w:p>
    <w:p>
      <w:pPr>
        <w:pStyle w:val="ListParagraph"/>
        <w:numPr>
          <w:ilvl w:val="1"/>
          <w:numId w:val="2"/>
        </w:numPr>
        <w:spacing w:after="60"/>
      </w:pPr>
      <w:r>
        <w:t xml:space="preserve">    return prediction.provenance  # Guaranteed JSON schema via structured outputs</w:t>
      </w:r>
    </w:p>
    <w:p/>
    <w:p>
      <w:pPr>
        <w:pStyle w:val="Heading2"/>
      </w:pPr>
      <w:r>
        <w:t xml:space="preserve">5.2 Transport Configuration</w:t>
      </w:r>
    </w:p>
    <w:p>
      <w:pPr>
        <w:pStyle w:val="ListParagraph"/>
        <w:numPr>
          <w:ilvl w:val="0"/>
          <w:numId w:val="2"/>
        </w:numPr>
        <w:spacing w:after="60"/>
      </w:pPr>
      <w:r>
        <w:t xml:space="preserve">Local (Claude Desktop / Claude Code): stdio transport -- mcp.run(transport="stdio")</w:t>
      </w:r>
    </w:p>
    <w:p>
      <w:pPr>
        <w:pStyle w:val="ListParagraph"/>
        <w:numPr>
          <w:ilvl w:val="0"/>
          <w:numId w:val="2"/>
        </w:numPr>
        <w:spacing w:after="60"/>
      </w:pPr>
      <w:r>
        <w:t xml:space="preserve">Hosted (claude.ai connectors, remote agents): SSE transport -- mcp.run(transport="sse", host="0.0.0.0", port=8080)</w:t>
      </w:r>
    </w:p>
    <w:p>
      <w:pPr>
        <w:pStyle w:val="ListParagraph"/>
        <w:numPr>
          <w:ilvl w:val="0"/>
          <w:numId w:val="2"/>
        </w:numPr>
        <w:spacing w:after="60"/>
      </w:pPr>
      <w:r>
        <w:t xml:space="preserve">Docker: containerised alongside FastAPI -- separate port, same VPC</w:t>
      </w:r>
    </w:p>
    <w:p>
      <w:pPr>
        <w:pStyle w:val="ListParagraph"/>
        <w:numPr>
          <w:ilvl w:val="0"/>
          <w:numId w:val="2"/>
        </w:numPr>
        <w:spacing w:after="60"/>
      </w:pPr>
      <w:r>
        <w:t xml:space="preserve">Auth middleware: tenant_id extracted from MCP auth header, injected into all tool calls</w:t>
      </w:r>
    </w:p>
    <w:p>
      <w:pPr>
        <w:pStyle w:val="ListParagraph"/>
        <w:numPr>
          <w:ilvl w:val="0"/>
          <w:numId w:val="2"/>
        </w:numPr>
        <w:spacing w:after="60"/>
      </w:pPr>
      <w:r>
        <w:t xml:space="preserve">Prompt caching: system prompt for all LLM-backed tools cached via Anthropic cache_control</w:t>
      </w:r>
    </w:p>
    <w:p/>
    <w:p>
      <w:pPr>
        <w:pStyle w:val="Heading2"/>
      </w:pPr>
      <w:r>
        <w:t xml:space="preserve">5.3 Claude Desktop Configuration</w:t>
      </w:r>
    </w:p>
    <w:p>
      <w:pPr>
        <w:pStyle w:val="ListParagraph"/>
        <w:numPr>
          <w:ilvl w:val="0"/>
          <w:numId w:val="2"/>
        </w:numPr>
        <w:spacing w:after="60"/>
      </w:pPr>
      <w:r>
        <w:t xml:space="preserve">Add to claude_desktop_config.json:</w:t>
      </w:r>
    </w:p>
    <w:p>
      <w:pPr>
        <w:pStyle w:val="ListParagraph"/>
        <w:numPr>
          <w:ilvl w:val="1"/>
          <w:numId w:val="2"/>
        </w:numPr>
        <w:spacing w:after="60"/>
      </w:pPr>
      <w:r>
        <w:t xml:space="preserve">{ "mcpServers": { "aria-ap": { "command": "python", "args": ["-m", "ap_automation.mcp_server"], "env": { "TENANT_ID": "your-tenant-id", "API_KEY": "your-api-key" } } } }</w:t>
      </w:r>
    </w:p>
    <w:p/>
    <w:p>
      <w:pPr>
        <w:pStyle w:val="Heading1"/>
      </w:pPr>
      <w:r>
        <w:t xml:space="preserve">6. Use Cases Unlocked by MCP</w:t>
      </w:r>
    </w:p>
    <w:p/>
    <w:p>
      <w:pPr>
        <w:pStyle w:val="Heading2"/>
      </w:pPr>
      <w:r>
        <w:t xml:space="preserve">6.1 Claude Desktop -- AP Clerk Assistant</w:t>
      </w:r>
    </w:p>
    <w:p>
      <w:pPr>
        <w:pStyle w:val="ListParagraph"/>
        <w:numPr>
          <w:ilvl w:val="0"/>
          <w:numId w:val="2"/>
        </w:numPr>
        <w:spacing w:after="60"/>
      </w:pPr>
      <w:r>
        <w:t xml:space="preserve">"What GL code do we normally use for Meridian Facilities?" -&gt; get_vendor_gl_history()</w:t>
      </w:r>
    </w:p>
    <w:p>
      <w:pPr>
        <w:pStyle w:val="ListParagraph"/>
        <w:numPr>
          <w:ilvl w:val="0"/>
          <w:numId w:val="2"/>
        </w:numPr>
        <w:spacing w:after="60"/>
      </w:pPr>
      <w:r>
        <w:t xml:space="preserve">"Why was invoice 4ae4 sent to review?" -&gt; get_audit_record() with Citations API explanation</w:t>
      </w:r>
    </w:p>
    <w:p>
      <w:pPr>
        <w:pStyle w:val="ListParagraph"/>
        <w:numPr>
          <w:ilvl w:val="0"/>
          <w:numId w:val="2"/>
        </w:numPr>
        <w:spacing w:after="60"/>
      </w:pPr>
      <w:r>
        <w:t xml:space="preserve">"How many invoices are waiting for review right now?" -&gt; get_pending_reviews()</w:t>
      </w:r>
    </w:p>
    <w:p>
      <w:pPr>
        <w:pStyle w:val="ListParagraph"/>
        <w:numPr>
          <w:ilvl w:val="0"/>
          <w:numId w:val="2"/>
        </w:numPr>
        <w:spacing w:after="60"/>
      </w:pPr>
      <w:r>
        <w:t xml:space="preserve">"Post this invoice: Meridian Facilities, office cleaning, 450 GBP" -&gt; predict_invoice() then confirm_invoice()</w:t>
      </w:r>
    </w:p>
    <w:p>
      <w:pPr>
        <w:pStyle w:val="ListParagraph"/>
        <w:numPr>
          <w:ilvl w:val="0"/>
          <w:numId w:val="2"/>
        </w:numPr>
        <w:spacing w:after="60"/>
      </w:pPr>
      <w:r>
        <w:t xml:space="preserve">"Explain this routing decision to me" -&gt; stream_explanation() -- streams in real time</w:t>
      </w:r>
    </w:p>
    <w:p/>
    <w:p>
      <w:pPr>
        <w:pStyle w:val="Heading2"/>
      </w:pPr>
      <w:r>
        <w:t xml:space="preserve">6.2 Claude Code -- Developer Debugging</w:t>
      </w:r>
    </w:p>
    <w:p>
      <w:pPr>
        <w:pStyle w:val="ListParagraph"/>
        <w:numPr>
          <w:ilvl w:val="0"/>
          <w:numId w:val="2"/>
        </w:numPr>
        <w:spacing w:after="60"/>
      </w:pPr>
      <w:r>
        <w:t xml:space="preserve">"Show me what evidence was retrieved for the last Zephyr invoice" -&gt; get_invoice_evidence()</w:t>
      </w:r>
    </w:p>
    <w:p>
      <w:pPr>
        <w:pStyle w:val="ListParagraph"/>
        <w:numPr>
          <w:ilvl w:val="0"/>
          <w:numId w:val="2"/>
        </w:numPr>
        <w:spacing w:after="60"/>
      </w:pPr>
      <w:r>
        <w:t xml:space="preserve">"What is the corpus density for Apex Equipment?" -&gt; get_corpus_stats()</w:t>
      </w:r>
    </w:p>
    <w:p>
      <w:pPr>
        <w:pStyle w:val="ListParagraph"/>
        <w:numPr>
          <w:ilvl w:val="0"/>
          <w:numId w:val="2"/>
        </w:numPr>
        <w:spacing w:after="60"/>
      </w:pPr>
      <w:r>
        <w:t xml:space="preserve">"Flag invoice xyz as a suspected miscoding" -&gt; flag_corpus_outlier()</w:t>
      </w:r>
    </w:p>
    <w:p>
      <w:pPr>
        <w:pStyle w:val="ListParagraph"/>
        <w:numPr>
          <w:ilvl w:val="0"/>
          <w:numId w:val="2"/>
        </w:numPr>
        <w:spacing w:after="60"/>
      </w:pPr>
      <w:r>
        <w:t xml:space="preserve">"Generate an audit report for October" -&gt; audit_report prompt</w:t>
      </w:r>
    </w:p>
    <w:p/>
    <w:p>
      <w:pPr>
        <w:pStyle w:val="Heading2"/>
      </w:pPr>
      <w:r>
        <w:t xml:space="preserve">6.3 LangGraph Agent -- Automated Review</w:t>
      </w:r>
    </w:p>
    <w:p>
      <w:pPr>
        <w:pStyle w:val="ListParagraph"/>
        <w:numPr>
          <w:ilvl w:val="0"/>
          <w:numId w:val="2"/>
        </w:numPr>
        <w:spacing w:after="60"/>
      </w:pPr>
      <w:r>
        <w:t xml:space="preserve">Agent receives invoice -&gt; calls predict_invoice() -&gt; checks confidence</w:t>
      </w:r>
    </w:p>
    <w:p>
      <w:pPr>
        <w:pStyle w:val="ListParagraph"/>
        <w:numPr>
          <w:ilvl w:val="0"/>
          <w:numId w:val="2"/>
        </w:numPr>
        <w:spacing w:after="60"/>
      </w:pPr>
      <w:r>
        <w:t xml:space="preserve">If confidence borderline -&gt; calls get_vendor_gl_history() in parallel with get_invoice_evidence()</w:t>
      </w:r>
    </w:p>
    <w:p>
      <w:pPr>
        <w:pStyle w:val="ListParagraph"/>
        <w:numPr>
          <w:ilvl w:val="0"/>
          <w:numId w:val="2"/>
        </w:numPr>
        <w:spacing w:after="60"/>
      </w:pPr>
      <w:r>
        <w:t xml:space="preserve">If still uncertain -&gt; calls stream_explanation() and presents to human review node</w:t>
      </w:r>
    </w:p>
    <w:p>
      <w:pPr>
        <w:pStyle w:val="ListParagraph"/>
        <w:numPr>
          <w:ilvl w:val="0"/>
          <w:numId w:val="2"/>
        </w:numPr>
        <w:spacing w:after="60"/>
      </w:pPr>
      <w:r>
        <w:t xml:space="preserve">On confirmation -&gt; calls confirm_invoice() -&gt; write-back triggered automatically</w:t>
      </w:r>
    </w:p>
    <w:p/>
    <w:p>
      <w:pPr>
        <w:pStyle w:val="Heading2"/>
      </w:pPr>
      <w:r>
        <w:t xml:space="preserve">6.4 A2A Multi-Agent Workflow</w:t>
      </w:r>
    </w:p>
    <w:p>
      <w:pPr>
        <w:pStyle w:val="ListParagraph"/>
        <w:numPr>
          <w:ilvl w:val="0"/>
          <w:numId w:val="2"/>
        </w:numPr>
        <w:spacing w:after="60"/>
      </w:pPr>
      <w:r>
        <w:t xml:space="preserve">AP Automation MCP server discovered by LangGraph supervisor via AgentCard</w:t>
      </w:r>
    </w:p>
    <w:p>
      <w:pPr>
        <w:pStyle w:val="ListParagraph"/>
        <w:numPr>
          <w:ilvl w:val="0"/>
          <w:numId w:val="2"/>
        </w:numPr>
        <w:spacing w:after="60"/>
      </w:pPr>
      <w:r>
        <w:t xml:space="preserve">Supervisor calls predict_invoice() on AP agent</w:t>
      </w:r>
    </w:p>
    <w:p>
      <w:pPr>
        <w:pStyle w:val="ListParagraph"/>
        <w:numPr>
          <w:ilvl w:val="0"/>
          <w:numId w:val="2"/>
        </w:numPr>
        <w:spacing w:after="60"/>
      </w:pPr>
      <w:r>
        <w:t xml:space="preserve">If VAT code uncertain, supervisor calls VAT specialist agent via A2A</w:t>
      </w:r>
    </w:p>
    <w:p>
      <w:pPr>
        <w:pStyle w:val="ListParagraph"/>
        <w:numPr>
          <w:ilvl w:val="0"/>
          <w:numId w:val="2"/>
        </w:numPr>
        <w:spacing w:after="60"/>
      </w:pPr>
      <w:r>
        <w:t xml:space="preserve">Both agents respond with structured outputs -- supervisor merges and posts</w:t>
      </w:r>
    </w:p>
    <w:p/>
    <w:p>
      <w:pPr>
        <w:pStyle w:val="Heading1"/>
      </w:pPr>
      <w:r>
        <w:t xml:space="preserve">7. Priority and Implementation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1500"/>
        <w:gridCol w:w="3060"/>
      </w:tblGrid>
      <w:tr>
        <w:trPr>
          <w:tblHeader/>
        </w:trPr>
        <w:tc>
          <w:tcPr>
            <w:tcW w:type="dxa" w:w="800"/>
            <w:shd w:color="E2E8F0" w:val="clear"/>
          </w:tcPr>
          <w:p>
            <w:r>
              <w:rPr>
                <w:rFonts w:ascii="Arial" w:cs="Arial" w:eastAsia="Arial" w:hAnsi="Arial"/>
                <w:b/>
                <w:bCs/>
                <w:sz w:val="18"/>
                <w:szCs w:val="18"/>
              </w:rPr>
              <w:t xml:space="preserve">Priority</w:t>
            </w:r>
          </w:p>
        </w:tc>
        <w:tc>
          <w:tcPr>
            <w:tcW w:type="dxa" w:w="4000"/>
            <w:shd w:color="E2E8F0" w:val="clear"/>
          </w:tcPr>
          <w:p>
            <w:r>
              <w:rPr>
                <w:rFonts w:ascii="Arial" w:cs="Arial" w:eastAsia="Arial" w:hAnsi="Arial"/>
                <w:b/>
                <w:bCs/>
                <w:sz w:val="18"/>
                <w:szCs w:val="18"/>
              </w:rPr>
              <w:t xml:space="preserve">Item</w:t>
            </w:r>
          </w:p>
        </w:tc>
        <w:tc>
          <w:tcPr>
            <w:tcW w:type="dxa" w:w="1500"/>
            <w:shd w:color="E2E8F0" w:val="clear"/>
          </w:tcPr>
          <w:p>
            <w:r>
              <w:rPr>
                <w:rFonts w:ascii="Arial" w:cs="Arial" w:eastAsia="Arial" w:hAnsi="Arial"/>
                <w:b/>
                <w:bCs/>
                <w:sz w:val="18"/>
                <w:szCs w:val="18"/>
              </w:rPr>
              <w:t xml:space="preserve">Phase</w:t>
            </w:r>
          </w:p>
        </w:tc>
        <w:tc>
          <w:tcPr>
            <w:tcW w:type="dxa" w:w="3060"/>
            <w:shd w:color="E2E8F0" w:val="clear"/>
          </w:tcPr>
          <w:p>
            <w:r>
              <w:rPr>
                <w:rFonts w:ascii="Arial" w:cs="Arial" w:eastAsia="Arial" w:hAnsi="Arial"/>
                <w:b/>
                <w:bCs/>
                <w:sz w:val="18"/>
                <w:szCs w:val="18"/>
              </w:rPr>
              <w:t xml:space="preserve">Effort</w:t>
            </w:r>
          </w:p>
        </w:tc>
      </w:tr>
      <w:tr>
        <w:tc>
          <w:p>
            <w:r>
              <w:rPr>
                <w:rFonts w:ascii="Arial" w:cs="Arial" w:eastAsia="Arial" w:hAnsi="Arial"/>
                <w:b w:val="false"/>
                <w:bCs w:val="false"/>
                <w:sz w:val="18"/>
                <w:szCs w:val="18"/>
              </w:rPr>
              <w:t xml:space="preserve">1</w:t>
            </w:r>
          </w:p>
        </w:tc>
        <w:tc>
          <w:p>
            <w:r>
              <w:rPr>
                <w:rFonts w:ascii="Arial" w:cs="Arial" w:eastAsia="Arial" w:hAnsi="Arial"/>
                <w:b w:val="false"/>
                <w:bCs w:val="false"/>
                <w:sz w:val="18"/>
                <w:szCs w:val="18"/>
              </w:rPr>
              <w:t xml:space="preserve">FastMCP server scaffold + predict_invoice tool</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2</w:t>
            </w:r>
          </w:p>
        </w:tc>
        <w:tc>
          <w:p>
            <w:r>
              <w:rPr>
                <w:rFonts w:ascii="Arial" w:cs="Arial" w:eastAsia="Arial" w:hAnsi="Arial"/>
                <w:b w:val="false"/>
                <w:bCs w:val="false"/>
                <w:sz w:val="18"/>
                <w:szCs w:val="18"/>
              </w:rPr>
              <w:t xml:space="preserve">Prompt caching on all LLM-backed tools</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3</w:t>
            </w:r>
          </w:p>
        </w:tc>
        <w:tc>
          <w:p>
            <w:r>
              <w:rPr>
                <w:rFonts w:ascii="Arial" w:cs="Arial" w:eastAsia="Arial" w:hAnsi="Arial"/>
                <w:b w:val="false"/>
                <w:bCs w:val="false"/>
                <w:sz w:val="18"/>
                <w:szCs w:val="18"/>
              </w:rPr>
              <w:t xml:space="preserve">Structured outputs on all tool responses</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4</w:t>
            </w:r>
          </w:p>
        </w:tc>
        <w:tc>
          <w:p>
            <w:r>
              <w:rPr>
                <w:rFonts w:ascii="Arial" w:cs="Arial" w:eastAsia="Arial" w:hAnsi="Arial"/>
                <w:b w:val="false"/>
                <w:bCs w:val="false"/>
                <w:sz w:val="18"/>
                <w:szCs w:val="18"/>
              </w:rPr>
              <w:t xml:space="preserve">get_vendor_gl_history + get_corpus_stats tools</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5</w:t>
            </w:r>
          </w:p>
        </w:tc>
        <w:tc>
          <w:p>
            <w:r>
              <w:rPr>
                <w:rFonts w:ascii="Arial" w:cs="Arial" w:eastAsia="Arial" w:hAnsi="Arial"/>
                <w:b w:val="false"/>
                <w:bCs w:val="false"/>
                <w:sz w:val="18"/>
                <w:szCs w:val="18"/>
              </w:rPr>
              <w:t xml:space="preserve">get_audit_record + get_erp_postings tools</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6</w:t>
            </w:r>
          </w:p>
        </w:tc>
        <w:tc>
          <w:p>
            <w:r>
              <w:rPr>
                <w:rFonts w:ascii="Arial" w:cs="Arial" w:eastAsia="Arial" w:hAnsi="Arial"/>
                <w:b w:val="false"/>
                <w:bCs w:val="false"/>
                <w:sz w:val="18"/>
                <w:szCs w:val="18"/>
              </w:rPr>
              <w:t xml:space="preserve">stdio transport -- Claude Desktop local connection</w:t>
            </w:r>
          </w:p>
        </w:tc>
        <w:tc>
          <w:p>
            <w:r>
              <w:rPr>
                <w:rFonts w:ascii="Arial" w:cs="Arial" w:eastAsia="Arial" w:hAnsi="Arial"/>
                <w:b w:val="false"/>
                <w:bCs w:val="false"/>
                <w:sz w:val="18"/>
                <w:szCs w:val="18"/>
              </w:rPr>
              <w:t xml:space="preserve">Phase 1</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7</w:t>
            </w:r>
          </w:p>
        </w:tc>
        <w:tc>
          <w:p>
            <w:r>
              <w:rPr>
                <w:rFonts w:ascii="Arial" w:cs="Arial" w:eastAsia="Arial" w:hAnsi="Arial"/>
                <w:b w:val="false"/>
                <w:bCs w:val="false"/>
                <w:sz w:val="18"/>
                <w:szCs w:val="18"/>
              </w:rPr>
              <w:t xml:space="preserve">confirm_invoice + submit_coding_rule tools</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8</w:t>
            </w:r>
          </w:p>
        </w:tc>
        <w:tc>
          <w:p>
            <w:r>
              <w:rPr>
                <w:rFonts w:ascii="Arial" w:cs="Arial" w:eastAsia="Arial" w:hAnsi="Arial"/>
                <w:b w:val="false"/>
                <w:bCs w:val="false"/>
                <w:sz w:val="18"/>
                <w:szCs w:val="18"/>
              </w:rPr>
              <w:t xml:space="preserve">stream_explanation tool (AsyncGenerator)</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9</w:t>
            </w:r>
          </w:p>
        </w:tc>
        <w:tc>
          <w:p>
            <w:r>
              <w:rPr>
                <w:rFonts w:ascii="Arial" w:cs="Arial" w:eastAsia="Arial" w:hAnsi="Arial"/>
                <w:b w:val="false"/>
                <w:bCs w:val="false"/>
                <w:sz w:val="18"/>
                <w:szCs w:val="18"/>
              </w:rPr>
              <w:t xml:space="preserve">Anthropic Citations API on explanation tools</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10</w:t>
            </w:r>
          </w:p>
        </w:tc>
        <w:tc>
          <w:p>
            <w:r>
              <w:rPr>
                <w:rFonts w:ascii="Arial" w:cs="Arial" w:eastAsia="Arial" w:hAnsi="Arial"/>
                <w:b w:val="false"/>
                <w:bCs w:val="false"/>
                <w:sz w:val="18"/>
                <w:szCs w:val="18"/>
              </w:rPr>
              <w:t xml:space="preserve">Resources: corpus/stats, performance/latest, rules/active</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0.5 days</w:t>
            </w:r>
          </w:p>
        </w:tc>
      </w:tr>
      <w:tr>
        <w:tc>
          <w:p>
            <w:r>
              <w:rPr>
                <w:rFonts w:ascii="Arial" w:cs="Arial" w:eastAsia="Arial" w:hAnsi="Arial"/>
                <w:b w:val="false"/>
                <w:bCs w:val="false"/>
                <w:sz w:val="18"/>
                <w:szCs w:val="18"/>
              </w:rPr>
              <w:t xml:space="preserve">11</w:t>
            </w:r>
          </w:p>
        </w:tc>
        <w:tc>
          <w:p>
            <w:r>
              <w:rPr>
                <w:rFonts w:ascii="Arial" w:cs="Arial" w:eastAsia="Arial" w:hAnsi="Arial"/>
                <w:b w:val="false"/>
                <w:bCs w:val="false"/>
                <w:sz w:val="18"/>
                <w:szCs w:val="18"/>
              </w:rPr>
              <w:t xml:space="preserve">Prompts: explain_routing, coding_recommendation, vendor_analysis, audit_report</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12</w:t>
            </w:r>
          </w:p>
        </w:tc>
        <w:tc>
          <w:p>
            <w:r>
              <w:rPr>
                <w:rFonts w:ascii="Arial" w:cs="Arial" w:eastAsia="Arial" w:hAnsi="Arial"/>
                <w:b w:val="false"/>
                <w:bCs w:val="false"/>
                <w:sz w:val="18"/>
                <w:szCs w:val="18"/>
              </w:rPr>
              <w:t xml:space="preserve">SSE transport + Docker containerisation</w:t>
            </w:r>
          </w:p>
        </w:tc>
        <w:tc>
          <w:p>
            <w:r>
              <w:rPr>
                <w:rFonts w:ascii="Arial" w:cs="Arial" w:eastAsia="Arial" w:hAnsi="Arial"/>
                <w:b w:val="false"/>
                <w:bCs w:val="false"/>
                <w:sz w:val="18"/>
                <w:szCs w:val="18"/>
              </w:rPr>
              <w:t xml:space="preserve">Phase 2</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13</w:t>
            </w:r>
          </w:p>
        </w:tc>
        <w:tc>
          <w:p>
            <w:r>
              <w:rPr>
                <w:rFonts w:ascii="Arial" w:cs="Arial" w:eastAsia="Arial" w:hAnsi="Arial"/>
                <w:b w:val="false"/>
                <w:bCs w:val="false"/>
                <w:sz w:val="18"/>
                <w:szCs w:val="18"/>
              </w:rPr>
              <w:t xml:space="preserve">A2A AgentCard endpoint</w:t>
            </w:r>
          </w:p>
        </w:tc>
        <w:tc>
          <w:p>
            <w:r>
              <w:rPr>
                <w:rFonts w:ascii="Arial" w:cs="Arial" w:eastAsia="Arial" w:hAnsi="Arial"/>
                <w:b w:val="false"/>
                <w:bCs w:val="false"/>
                <w:sz w:val="18"/>
                <w:szCs w:val="18"/>
              </w:rPr>
              <w:t xml:space="preserve">Phase 3</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14</w:t>
            </w:r>
          </w:p>
        </w:tc>
        <w:tc>
          <w:p>
            <w:r>
              <w:rPr>
                <w:rFonts w:ascii="Arial" w:cs="Arial" w:eastAsia="Arial" w:hAnsi="Arial"/>
                <w:b w:val="false"/>
                <w:bCs w:val="false"/>
                <w:sz w:val="18"/>
                <w:szCs w:val="18"/>
              </w:rPr>
              <w:t xml:space="preserve">OAuth2 auth + hosted connector registration</w:t>
            </w:r>
          </w:p>
        </w:tc>
        <w:tc>
          <w:p>
            <w:r>
              <w:rPr>
                <w:rFonts w:ascii="Arial" w:cs="Arial" w:eastAsia="Arial" w:hAnsi="Arial"/>
                <w:b w:val="false"/>
                <w:bCs w:val="false"/>
                <w:sz w:val="18"/>
                <w:szCs w:val="18"/>
              </w:rPr>
              <w:t xml:space="preserve">Phase 3</w:t>
            </w:r>
          </w:p>
        </w:tc>
        <w:tc>
          <w:p>
            <w:r>
              <w:rPr>
                <w:rFonts w:ascii="Arial" w:cs="Arial" w:eastAsia="Arial" w:hAnsi="Arial"/>
                <w:b w:val="false"/>
                <w:bCs w:val="false"/>
                <w:sz w:val="18"/>
                <w:szCs w:val="18"/>
              </w:rPr>
              <w:t xml:space="preserve">2 days</w:t>
            </w:r>
          </w:p>
        </w:tc>
      </w:tr>
      <w:tr>
        <w:tc>
          <w:p>
            <w:r>
              <w:rPr>
                <w:rFonts w:ascii="Arial" w:cs="Arial" w:eastAsia="Arial" w:hAnsi="Arial"/>
                <w:b w:val="false"/>
                <w:bCs w:val="false"/>
                <w:sz w:val="18"/>
                <w:szCs w:val="18"/>
              </w:rPr>
              <w:t xml:space="preserve">15</w:t>
            </w:r>
          </w:p>
        </w:tc>
        <w:tc>
          <w:p>
            <w:r>
              <w:rPr>
                <w:rFonts w:ascii="Arial" w:cs="Arial" w:eastAsia="Arial" w:hAnsi="Arial"/>
                <w:b w:val="false"/>
                <w:bCs w:val="false"/>
                <w:sz w:val="18"/>
                <w:szCs w:val="18"/>
              </w:rPr>
              <w:t xml:space="preserve">Multi-tenant routing via OAuth token</w:t>
            </w:r>
          </w:p>
        </w:tc>
        <w:tc>
          <w:p>
            <w:r>
              <w:rPr>
                <w:rFonts w:ascii="Arial" w:cs="Arial" w:eastAsia="Arial" w:hAnsi="Arial"/>
                <w:b w:val="false"/>
                <w:bCs w:val="false"/>
                <w:sz w:val="18"/>
                <w:szCs w:val="18"/>
              </w:rPr>
              <w:t xml:space="preserve">Phase 3</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16</w:t>
            </w:r>
          </w:p>
        </w:tc>
        <w:tc>
          <w:p>
            <w:r>
              <w:rPr>
                <w:rFonts w:ascii="Arial" w:cs="Arial" w:eastAsia="Arial" w:hAnsi="Arial"/>
                <w:b w:val="false"/>
                <w:bCs w:val="false"/>
                <w:sz w:val="18"/>
                <w:szCs w:val="18"/>
              </w:rPr>
              <w:t xml:space="preserve">Tool use parallelism in LangGraph MCP integration</w:t>
            </w:r>
          </w:p>
        </w:tc>
        <w:tc>
          <w:p>
            <w:r>
              <w:rPr>
                <w:rFonts w:ascii="Arial" w:cs="Arial" w:eastAsia="Arial" w:hAnsi="Arial"/>
                <w:b w:val="false"/>
                <w:bCs w:val="false"/>
                <w:sz w:val="18"/>
                <w:szCs w:val="18"/>
              </w:rPr>
              <w:t xml:space="preserve">Phase 3</w:t>
            </w:r>
          </w:p>
        </w:tc>
        <w:tc>
          <w:p>
            <w:r>
              <w:rPr>
                <w:rFonts w:ascii="Arial" w:cs="Arial" w:eastAsia="Arial" w:hAnsi="Arial"/>
                <w:b w:val="false"/>
                <w:bCs w:val="false"/>
                <w:sz w:val="18"/>
                <w:szCs w:val="18"/>
              </w:rPr>
              <w:t xml:space="preserve">1 day</w:t>
            </w:r>
          </w:p>
        </w:tc>
      </w:tr>
      <w:tr>
        <w:tc>
          <w:p>
            <w:r>
              <w:rPr>
                <w:rFonts w:ascii="Arial" w:cs="Arial" w:eastAsia="Arial" w:hAnsi="Arial"/>
                <w:b w:val="false"/>
                <w:bCs w:val="false"/>
                <w:sz w:val="18"/>
                <w:szCs w:val="18"/>
              </w:rPr>
              <w:t xml:space="preserve">17</w:t>
            </w:r>
          </w:p>
        </w:tc>
        <w:tc>
          <w:p>
            <w:r>
              <w:rPr>
                <w:rFonts w:ascii="Arial" w:cs="Arial" w:eastAsia="Arial" w:hAnsi="Arial"/>
                <w:b w:val="false"/>
                <w:bCs w:val="false"/>
                <w:sz w:val="18"/>
                <w:szCs w:val="18"/>
              </w:rPr>
              <w:t xml:space="preserve">A2A multi-agent workflow (VAT, FX, approval)</w:t>
            </w:r>
          </w:p>
        </w:tc>
        <w:tc>
          <w:p>
            <w:r>
              <w:rPr>
                <w:rFonts w:ascii="Arial" w:cs="Arial" w:eastAsia="Arial" w:hAnsi="Arial"/>
                <w:b w:val="false"/>
                <w:bCs w:val="false"/>
                <w:sz w:val="18"/>
                <w:szCs w:val="18"/>
              </w:rPr>
              <w:t xml:space="preserve">Phase 4</w:t>
            </w:r>
          </w:p>
        </w:tc>
        <w:tc>
          <w:p>
            <w:r>
              <w:rPr>
                <w:rFonts w:ascii="Arial" w:cs="Arial" w:eastAsia="Arial" w:hAnsi="Arial"/>
                <w:b w:val="false"/>
                <w:bCs w:val="false"/>
                <w:sz w:val="18"/>
                <w:szCs w:val="18"/>
              </w:rPr>
              <w:t xml:space="preserve">3 days</w:t>
            </w:r>
          </w:p>
        </w:tc>
      </w:tr>
    </w:tbl>
    <w:p/>
    <w:p>
      <w:r>
        <w:rPr>
          <w:rFonts w:ascii="Arial" w:cs="Arial" w:eastAsia="Arial" w:hAnsi="Arial"/>
          <w:color w:val="6B7280"/>
          <w:sz w:val="18"/>
          <w:szCs w:val="18"/>
        </w:rPr>
        <w:t xml:space="preserve">Contact: miles.waite@akkoda.com | github.com/Milesy1/ap-automation</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2026-10-15T19:56:08.604Z</dcterms:created>
  <dcterms:modified xsi:type="dcterms:W3CDTF">2026-10-15T19:56:08.604Z</dcterms:modified>
</cp:coreProperties>
</file>

<file path=docProps/custom.xml><?xml version="1.0" encoding="utf-8"?>
<Properties xmlns="http://schemas.openxmlformats.org/officeDocument/2006/custom-properties" xmlns:vt="http://schemas.openxmlformats.org/officeDocument/2006/docPropsVTypes"/>
</file>