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AP Automation RAGbot -- Best in Class</w:t>
      </w:r>
    </w:p>
    <w:p>
      <w:r>
        <w:rPr>
          <w:rFonts w:ascii="Arial" w:cs="Arial" w:eastAsia="Arial" w:hAnsi="Arial"/>
          <w:sz w:val="20"/>
          <w:szCs w:val="20"/>
        </w:rPr>
        <w:t xml:space="preserve">A comprehensive specification of every improvement required to make the RAGbot best-in-class for this project. Covers RAGAS baseline, RAG core essentials, retrieval enhancements, multimodal ingestion, embedding strategy, confidence scoring, and what to freeze once the system is proven.</w:t>
      </w:r>
    </w:p>
    <w:p>
      <w:r>
        <w:rPr>
          <w:rFonts w:ascii="Arial" w:cs="Arial" w:eastAsia="Arial" w:hAnsi="Arial"/>
          <w:sz w:val="20"/>
          <w:szCs w:val="20"/>
        </w:rPr>
        <w:t xml:space="preserve">October 2026 | Form Consulting Services | Akkoda</w:t>
      </w:r>
    </w:p>
    <w:p/>
    <w:p>
      <w:pPr>
        <w:pStyle w:val="Heading1"/>
      </w:pPr>
      <w:r>
        <w:t xml:space="preserve">1. RAGAS Baseline -- Establish Before Any Changes</w:t>
      </w:r>
    </w:p>
    <w:p>
      <w:r>
        <w:rPr>
          <w:rFonts w:ascii="Arial" w:cs="Arial" w:eastAsia="Arial" w:hAnsi="Arial"/>
          <w:sz w:val="20"/>
          <w:szCs w:val="20"/>
        </w:rPr>
        <w:t xml:space="preserve">Before any enhancement is made, establish a RAGAS benchmark against the current corpus. This is the reference point everything is measured against. No change to the RAG core is acceptable unless RAGAS scores improve or hold.</w:t>
      </w:r>
    </w:p>
    <w:p/>
    <w:p>
      <w:pPr>
        <w:pStyle w:val="Heading2"/>
      </w:pPr>
      <w:r>
        <w:t xml:space="preserve">1.1 RAGAS Metrics to Run</w:t>
      </w:r>
    </w:p>
    <w:p>
      <w:pPr>
        <w:pStyle w:val="ListParagraph"/>
        <w:numPr>
          <w:ilvl w:val="0"/>
          <w:numId w:val="2"/>
        </w:numPr>
        <w:spacing w:after="60"/>
      </w:pPr>
      <w:r>
        <w:t xml:space="preserve">Faithfulness -- are retrieved evidence lines actually used in the prediction? Target: &gt;0.95</w:t>
      </w:r>
    </w:p>
    <w:p>
      <w:pPr>
        <w:pStyle w:val="ListParagraph"/>
        <w:numPr>
          <w:ilvl w:val="0"/>
          <w:numId w:val="2"/>
        </w:numPr>
        <w:spacing w:after="60"/>
      </w:pPr>
      <w:r>
        <w:t xml:space="preserve">Answer Relevancy -- is the predicted GL code relevant to the invoice description? Target: &gt;0.90</w:t>
      </w:r>
    </w:p>
    <w:p>
      <w:pPr>
        <w:pStyle w:val="ListParagraph"/>
        <w:numPr>
          <w:ilvl w:val="0"/>
          <w:numId w:val="2"/>
        </w:numPr>
        <w:spacing w:after="60"/>
      </w:pPr>
      <w:r>
        <w:t xml:space="preserve">Context Precision -- are the top retrieved lines the most relevant ones? Target: &gt;0.85</w:t>
      </w:r>
    </w:p>
    <w:p>
      <w:pPr>
        <w:pStyle w:val="ListParagraph"/>
        <w:numPr>
          <w:ilvl w:val="0"/>
          <w:numId w:val="2"/>
        </w:numPr>
        <w:spacing w:after="60"/>
      </w:pPr>
      <w:r>
        <w:t xml:space="preserve">Context Recall -- does the retrieved set contain all lines needed for the correct answer? Target: &gt;0.90</w:t>
      </w:r>
    </w:p>
    <w:p>
      <w:pPr>
        <w:pStyle w:val="ListParagraph"/>
        <w:numPr>
          <w:ilvl w:val="0"/>
          <w:numId w:val="2"/>
        </w:numPr>
        <w:spacing w:after="60"/>
      </w:pPr>
      <w:r>
        <w:t xml:space="preserve">Answer Correctness -- predicted GL vs ground truth GL. Target: &gt;0.99 (already proven)</w:t>
      </w:r>
    </w:p>
    <w:p/>
    <w:p>
      <w:pPr>
        <w:pStyle w:val="Heading2"/>
      </w:pPr>
      <w:r>
        <w:t xml:space="preserve">1.2 Tooling</w:t>
      </w:r>
    </w:p>
    <w:p>
      <w:pPr>
        <w:pStyle w:val="ListParagraph"/>
        <w:numPr>
          <w:ilvl w:val="0"/>
          <w:numId w:val="2"/>
        </w:numPr>
        <w:spacing w:after="60"/>
      </w:pPr>
      <w:r>
        <w:t xml:space="preserve">RAGAS Python library -- pip install ragas</w:t>
      </w:r>
    </w:p>
    <w:p>
      <w:pPr>
        <w:pStyle w:val="ListParagraph"/>
        <w:numPr>
          <w:ilvl w:val="0"/>
          <w:numId w:val="2"/>
        </w:numPr>
        <w:spacing w:after="60"/>
      </w:pPr>
      <w:r>
        <w:t xml:space="preserve">Ground truth dataset: data/invoices_200_optimised.csv (200 invoices with ground_truth_gl)</w:t>
      </w:r>
    </w:p>
    <w:p>
      <w:pPr>
        <w:pStyle w:val="ListParagraph"/>
        <w:numPr>
          <w:ilvl w:val="0"/>
          <w:numId w:val="2"/>
        </w:numPr>
        <w:spacing w:after="60"/>
      </w:pPr>
      <w:r>
        <w:t xml:space="preserve">Run against the Qdrant corpus -- not a mock</w:t>
      </w:r>
    </w:p>
    <w:p>
      <w:pPr>
        <w:pStyle w:val="ListParagraph"/>
        <w:numPr>
          <w:ilvl w:val="0"/>
          <w:numId w:val="2"/>
        </w:numPr>
        <w:spacing w:after="60"/>
      </w:pPr>
      <w:r>
        <w:t xml:space="preserve">Export scores to data/ragas_baseline.json before any changes</w:t>
      </w:r>
    </w:p>
    <w:p>
      <w:pPr>
        <w:pStyle w:val="ListParagraph"/>
        <w:numPr>
          <w:ilvl w:val="0"/>
          <w:numId w:val="2"/>
        </w:numPr>
        <w:spacing w:after="60"/>
      </w:pPr>
      <w:r>
        <w:t xml:space="preserve">Re-run after every retrieval change as a regression test</w:t>
      </w:r>
    </w:p>
    <w:p>
      <w:pPr>
        <w:pStyle w:val="ListParagraph"/>
        <w:numPr>
          <w:ilvl w:val="0"/>
          <w:numId w:val="2"/>
        </w:numPr>
        <w:spacing w:after="60"/>
      </w:pPr>
      <w:r>
        <w:t xml:space="preserve">Publish eval results to a shared dashboard (Langfuse, Braintrust, or Langsmith) -- stakeholders must be able to inspect results without running the pipeline themselves</w:t>
      </w:r>
    </w:p>
    <w:p/>
    <w:p>
      <w:r>
        <w:rPr>
          <w:rFonts w:ascii="Arial" w:cs="Arial" w:eastAsia="Arial" w:hAnsi="Arial"/>
          <w:i/>
          <w:iCs/>
          <w:color w:val="6B7280"/>
          <w:sz w:val="18"/>
          <w:szCs w:val="18"/>
        </w:rPr>
        <w:t xml:space="preserve">Rule: freeze the RAG core once RAGAS is maxed. All future improvements go in middleware.</w:t>
      </w:r>
    </w:p>
    <w:p/>
    <w:p>
      <w:pPr>
        <w:pStyle w:val="Heading1"/>
      </w:pPr>
      <w:r>
        <w:t xml:space="preserve">2. RAG Core -- Essentials for Best-in-Class</w:t>
      </w:r>
    </w:p>
    <w:p/>
    <w:p>
      <w:pPr>
        <w:pStyle w:val="Heading2"/>
      </w:pPr>
      <w:r>
        <w:t xml:space="preserve">2.1 Retrieval Quality</w:t>
      </w:r>
    </w:p>
    <w:p/>
    <w:p>
      <w:pPr>
        <w:pStyle w:val="Heading3"/>
      </w:pPr>
      <w:r>
        <w:t xml:space="preserve">2.1.1 Cross-Encoder Re-Ranking (Highest Priority)</w:t>
      </w:r>
    </w:p>
    <w:p>
      <w:r>
        <w:rPr>
          <w:rFonts w:ascii="Arial" w:cs="Arial" w:eastAsia="Arial" w:hAnsi="Arial"/>
          <w:sz w:val="20"/>
          <w:szCs w:val="20"/>
        </w:rPr>
        <w:t xml:space="preserve">The current pipeline retrieves top-10 via hybrid RRF then scores confidence from those 10. A cross-encoder re-ranker re-scores the top-10 by semantic relevance before confidence scoring, significantly improving precision.</w:t>
      </w:r>
    </w:p>
    <w:p>
      <w:pPr>
        <w:pStyle w:val="ListParagraph"/>
        <w:numPr>
          <w:ilvl w:val="0"/>
          <w:numId w:val="2"/>
        </w:numPr>
        <w:spacing w:after="60"/>
      </w:pPr>
      <w:r>
        <w:t xml:space="preserve">Add Cohere Rerank API call after RRF, before confidence scoring</w:t>
      </w:r>
    </w:p>
    <w:p>
      <w:pPr>
        <w:pStyle w:val="ListParagraph"/>
        <w:numPr>
          <w:ilvl w:val="0"/>
          <w:numId w:val="2"/>
        </w:numPr>
        <w:spacing w:after="60"/>
      </w:pPr>
      <w:r>
        <w:t xml:space="preserve">Re-rank top-20 candidates down to top-10</w:t>
      </w:r>
    </w:p>
    <w:p>
      <w:pPr>
        <w:pStyle w:val="ListParagraph"/>
        <w:numPr>
          <w:ilvl w:val="0"/>
          <w:numId w:val="2"/>
        </w:numPr>
        <w:spacing w:after="60"/>
      </w:pPr>
      <w:r>
        <w:t xml:space="preserve">Expected improvement: Context Precision +5-10pp</w:t>
      </w:r>
    </w:p>
    <w:p>
      <w:pPr>
        <w:pStyle w:val="ListParagraph"/>
        <w:numPr>
          <w:ilvl w:val="0"/>
          <w:numId w:val="2"/>
        </w:numPr>
        <w:spacing w:after="60"/>
      </w:pPr>
      <w:r>
        <w:t xml:space="preserve">Cost: ~0.001 GBP per invoice at 10k invoices/month -- negligible</w:t>
      </w:r>
    </w:p>
    <w:p/>
    <w:p>
      <w:pPr>
        <w:pStyle w:val="Heading3"/>
      </w:pPr>
      <w:r>
        <w:t xml:space="preserve">2.1.2 Late Interaction Models (ColBERT/ColPali)</w:t>
      </w:r>
    </w:p>
    <w:p>
      <w:r>
        <w:rPr>
          <w:rFonts w:ascii="Arial" w:cs="Arial" w:eastAsia="Arial" w:hAnsi="Arial"/>
          <w:sz w:val="20"/>
          <w:szCs w:val="20"/>
        </w:rPr>
        <w:t xml:space="preserve">Late interaction models compute token-level similarity between query and document at retrieval time, rather than compressing both into single vectors. This significantly outperforms bi-encoder dense retrieval on precision for domain-specific text.</w:t>
      </w:r>
    </w:p>
    <w:p>
      <w:pPr>
        <w:pStyle w:val="ListParagraph"/>
        <w:numPr>
          <w:ilvl w:val="0"/>
          <w:numId w:val="2"/>
        </w:numPr>
        <w:spacing w:after="60"/>
      </w:pPr>
      <w:r>
        <w:t xml:space="preserve">ColBERT: token-level late interaction for text descriptions -- higher precision than standard dense retrieval</w:t>
      </w:r>
    </w:p>
    <w:p>
      <w:pPr>
        <w:pStyle w:val="ListParagraph"/>
        <w:numPr>
          <w:ilvl w:val="0"/>
          <w:numId w:val="2"/>
        </w:numPr>
        <w:spacing w:after="60"/>
      </w:pPr>
      <w:r>
        <w:t xml:space="preserve">ColPali: multimodal late interaction -- handles PDF invoice images alongside text (see Section 2.5)</w:t>
      </w:r>
    </w:p>
    <w:p>
      <w:pPr>
        <w:pStyle w:val="ListParagraph"/>
        <w:numPr>
          <w:ilvl w:val="0"/>
          <w:numId w:val="2"/>
        </w:numPr>
        <w:spacing w:after="60"/>
      </w:pPr>
      <w:r>
        <w:t xml:space="preserve">Evaluate against RAGAS Context Precision baseline before committing</w:t>
      </w:r>
    </w:p>
    <w:p>
      <w:pPr>
        <w:pStyle w:val="ListParagraph"/>
        <w:numPr>
          <w:ilvl w:val="0"/>
          <w:numId w:val="2"/>
        </w:numPr>
        <w:spacing w:after="60"/>
      </w:pPr>
      <w:r>
        <w:t xml:space="preserve">Qdrant supports ColBERT multi-vector storage natively -- no infrastructure change required</w:t>
      </w:r>
    </w:p>
    <w:p>
      <w:pPr>
        <w:pStyle w:val="ListParagraph"/>
        <w:numPr>
          <w:ilvl w:val="0"/>
          <w:numId w:val="2"/>
        </w:numPr>
        <w:spacing w:after="60"/>
      </w:pPr>
      <w:r>
        <w:t xml:space="preserve">Expected improvement: Context Precision +8-15pp on short or ambiguous descriptions</w:t>
      </w:r>
    </w:p>
    <w:p/>
    <w:p>
      <w:pPr>
        <w:pStyle w:val="Heading3"/>
      </w:pPr>
      <w:r>
        <w:t xml:space="preserve">2.1.3 Adaptive BM25/Dense Weighting</w:t>
      </w:r>
    </w:p>
    <w:p>
      <w:r>
        <w:rPr>
          <w:rFonts w:ascii="Arial" w:cs="Arial" w:eastAsia="Arial" w:hAnsi="Arial"/>
          <w:sz w:val="20"/>
          <w:szCs w:val="20"/>
        </w:rPr>
        <w:t xml:space="preserve">The current 0.5/0.5 BM25/dense split is fixed. Short descriptions benefit from higher BM25 weight; long descriptions benefit from higher dense weight.</w:t>
      </w:r>
    </w:p>
    <w:p>
      <w:pPr>
        <w:pStyle w:val="ListParagraph"/>
        <w:numPr>
          <w:ilvl w:val="0"/>
          <w:numId w:val="2"/>
        </w:numPr>
        <w:spacing w:after="60"/>
      </w:pPr>
      <w:r>
        <w:t xml:space="preserve">Measure description token count at query time</w:t>
      </w:r>
    </w:p>
    <w:p>
      <w:pPr>
        <w:pStyle w:val="ListParagraph"/>
        <w:numPr>
          <w:ilvl w:val="0"/>
          <w:numId w:val="2"/>
        </w:numPr>
        <w:spacing w:after="60"/>
      </w:pPr>
      <w:r>
        <w:t xml:space="preserve">Apply dynamic weights: short (&lt;5 tokens) = BM25 0.7 / dense 0.3; long (&gt;10 tokens) = BM25 0.3 / dense 0.7</w:t>
      </w:r>
    </w:p>
    <w:p>
      <w:pPr>
        <w:pStyle w:val="ListParagraph"/>
        <w:numPr>
          <w:ilvl w:val="0"/>
          <w:numId w:val="2"/>
        </w:numPr>
        <w:spacing w:after="60"/>
      </w:pPr>
      <w:r>
        <w:t xml:space="preserve">Expected improvement: Context Recall on short descriptions</w:t>
      </w:r>
    </w:p>
    <w:p/>
    <w:p>
      <w:pPr>
        <w:pStyle w:val="Heading3"/>
      </w:pPr>
      <w:r>
        <w:t xml:space="preserve">2.1.4 Hybrid Reranking with Learned Weights</w:t>
      </w:r>
    </w:p>
    <w:p>
      <w:r>
        <w:rPr>
          <w:rFonts w:ascii="Arial" w:cs="Arial" w:eastAsia="Arial" w:hAnsi="Arial"/>
          <w:sz w:val="20"/>
          <w:szCs w:val="20"/>
        </w:rPr>
        <w:t xml:space="preserve">Beyond static RRF, the optimal fusion weights can be learned from confirmed outcomes over time.</w:t>
      </w:r>
    </w:p>
    <w:p>
      <w:pPr>
        <w:pStyle w:val="ListParagraph"/>
        <w:numPr>
          <w:ilvl w:val="0"/>
          <w:numId w:val="2"/>
        </w:numPr>
        <w:spacing w:after="60"/>
      </w:pPr>
      <w:r>
        <w:t xml:space="preserve">Log per-retrieval: which fusion weight produced the highest-confidence correct prediction</w:t>
      </w:r>
    </w:p>
    <w:p>
      <w:pPr>
        <w:pStyle w:val="ListParagraph"/>
        <w:numPr>
          <w:ilvl w:val="0"/>
          <w:numId w:val="2"/>
        </w:numPr>
        <w:spacing w:after="60"/>
      </w:pPr>
      <w:r>
        <w:t xml:space="preserve">After 500 confirmed outcomes, fit a simple regression on fusion weight vs correctness</w:t>
      </w:r>
    </w:p>
    <w:p>
      <w:pPr>
        <w:pStyle w:val="ListParagraph"/>
        <w:numPr>
          <w:ilvl w:val="0"/>
          <w:numId w:val="2"/>
        </w:numPr>
        <w:spacing w:after="60"/>
      </w:pPr>
      <w:r>
        <w:t xml:space="preserve">Update RRF weights from fitted model -- retrain quarterly</w:t>
      </w:r>
    </w:p>
    <w:p>
      <w:pPr>
        <w:pStyle w:val="ListParagraph"/>
        <w:numPr>
          <w:ilvl w:val="0"/>
          <w:numId w:val="2"/>
        </w:numPr>
        <w:spacing w:after="60"/>
      </w:pPr>
      <w:r>
        <w:t xml:space="preserve">This is the retrieval equivalent of the confidence formula learning (Section 2.2.1)</w:t>
      </w:r>
    </w:p>
    <w:p/>
    <w:p>
      <w:pPr>
        <w:pStyle w:val="Heading3"/>
      </w:pPr>
      <w:r>
        <w:t xml:space="preserve">2.1.5 Temporal Decay on Evidence</w:t>
      </w:r>
    </w:p>
    <w:p>
      <w:r>
        <w:rPr>
          <w:rFonts w:ascii="Arial" w:cs="Arial" w:eastAsia="Arial" w:hAnsi="Arial"/>
          <w:sz w:val="20"/>
          <w:szCs w:val="20"/>
        </w:rPr>
        <w:t xml:space="preserve">A confirmed invoice from 3 years ago is less reliable evidence than one from last month. Coding policies change, vendors change descriptions, chart of accounts evolves.</w:t>
      </w:r>
    </w:p>
    <w:p>
      <w:pPr>
        <w:pStyle w:val="ListParagraph"/>
        <w:numPr>
          <w:ilvl w:val="0"/>
          <w:numId w:val="2"/>
        </w:numPr>
        <w:spacing w:after="60"/>
      </w:pPr>
      <w:r>
        <w:t xml:space="preserve">Store confirmation_timestamp on every corpus point (already done)</w:t>
      </w:r>
    </w:p>
    <w:p>
      <w:pPr>
        <w:pStyle w:val="ListParagraph"/>
        <w:numPr>
          <w:ilvl w:val="0"/>
          <w:numId w:val="2"/>
        </w:numPr>
        <w:spacing w:after="60"/>
      </w:pPr>
      <w:r>
        <w:t xml:space="preserve">Apply exponential decay to similarity scores: score *= e^(-lambda * days_ago)</w:t>
      </w:r>
    </w:p>
    <w:p>
      <w:pPr>
        <w:pStyle w:val="ListParagraph"/>
        <w:numPr>
          <w:ilvl w:val="0"/>
          <w:numId w:val="2"/>
        </w:numPr>
        <w:spacing w:after="60"/>
      </w:pPr>
      <w:r>
        <w:t xml:space="preserve">Lambda = 0.001 (half-life ~2 years) -- tune from confirmed outcome data</w:t>
      </w:r>
    </w:p>
    <w:p>
      <w:pPr>
        <w:pStyle w:val="ListParagraph"/>
        <w:numPr>
          <w:ilvl w:val="0"/>
          <w:numId w:val="2"/>
        </w:numPr>
        <w:spacing w:after="60"/>
      </w:pPr>
      <w:r>
        <w:t xml:space="preserve">Prevents stale evidence dominating predictions</w:t>
      </w:r>
    </w:p>
    <w:p/>
    <w:p>
      <w:pPr>
        <w:pStyle w:val="Heading3"/>
      </w:pPr>
      <w:r>
        <w:t xml:space="preserve">2.1.6 Vendor Alias Unification (MDM Enhancement)</w:t>
      </w:r>
    </w:p>
    <w:p>
      <w:r>
        <w:rPr>
          <w:rFonts w:ascii="Arial" w:cs="Arial" w:eastAsia="Arial" w:hAnsi="Arial"/>
          <w:sz w:val="20"/>
          <w:szCs w:val="20"/>
        </w:rPr>
        <w:t xml:space="preserve">Aggressive MDM unification ensures all vendor name variants map to the same canonical ID and share evidence.</w:t>
      </w:r>
    </w:p>
    <w:p>
      <w:pPr>
        <w:pStyle w:val="ListParagraph"/>
        <w:numPr>
          <w:ilvl w:val="0"/>
          <w:numId w:val="2"/>
        </w:numPr>
        <w:spacing w:after="60"/>
      </w:pPr>
      <w:r>
        <w:t xml:space="preserve">Expand vendor_map.csv with fuzzy-matched aliases</w:t>
      </w:r>
    </w:p>
    <w:p>
      <w:pPr>
        <w:pStyle w:val="ListParagraph"/>
        <w:numPr>
          <w:ilvl w:val="0"/>
          <w:numId w:val="2"/>
        </w:numPr>
        <w:spacing w:after="60"/>
      </w:pPr>
      <w:r>
        <w:t xml:space="preserve">Add edit-distance matching in resolve_vendor() for near-matches</w:t>
      </w:r>
    </w:p>
    <w:p>
      <w:pPr>
        <w:pStyle w:val="ListParagraph"/>
        <w:numPr>
          <w:ilvl w:val="0"/>
          <w:numId w:val="2"/>
        </w:numPr>
        <w:spacing w:after="60"/>
      </w:pPr>
      <w:r>
        <w:t xml:space="preserve">Flag low-confidence MDM resolutions for human review</w:t>
      </w:r>
    </w:p>
    <w:p>
      <w:pPr>
        <w:pStyle w:val="ListParagraph"/>
        <w:numPr>
          <w:ilvl w:val="0"/>
          <w:numId w:val="2"/>
        </w:numPr>
        <w:spacing w:after="60"/>
      </w:pPr>
      <w:r>
        <w:t xml:space="preserve">Expected improvement: evidence density per vendor, higher agreement ratio</w:t>
      </w:r>
    </w:p>
    <w:p/>
    <w:p>
      <w:pPr>
        <w:pStyle w:val="Heading3"/>
      </w:pPr>
      <w:r>
        <w:t xml:space="preserve">2.1.7 Corpus Deduplication</w:t>
      </w:r>
    </w:p>
    <w:p>
      <w:r>
        <w:rPr>
          <w:rFonts w:ascii="Arial" w:cs="Arial" w:eastAsia="Arial" w:hAnsi="Arial"/>
          <w:sz w:val="20"/>
          <w:szCs w:val="20"/>
        </w:rPr>
        <w:t xml:space="preserve">The same description confirmed multiple times adds redundant points. Duplicates dilute the corpus without adding signal.</w:t>
      </w:r>
    </w:p>
    <w:p>
      <w:pPr>
        <w:pStyle w:val="ListParagraph"/>
        <w:numPr>
          <w:ilvl w:val="0"/>
          <w:numId w:val="2"/>
        </w:numPr>
        <w:spacing w:after="60"/>
      </w:pPr>
      <w:r>
        <w:t xml:space="preserve">On write-back, check if a near-identical point (similarity &gt;0.98, same GL) already exists</w:t>
      </w:r>
    </w:p>
    <w:p>
      <w:pPr>
        <w:pStyle w:val="ListParagraph"/>
        <w:numPr>
          <w:ilvl w:val="0"/>
          <w:numId w:val="2"/>
        </w:numPr>
        <w:spacing w:after="60"/>
      </w:pPr>
      <w:r>
        <w:t xml:space="preserve">If duplicate found: update the existing point timestamp and confirmation count rather than adding a new point</w:t>
      </w:r>
    </w:p>
    <w:p>
      <w:pPr>
        <w:pStyle w:val="ListParagraph"/>
        <w:numPr>
          <w:ilvl w:val="0"/>
          <w:numId w:val="2"/>
        </w:numPr>
        <w:spacing w:after="60"/>
      </w:pPr>
      <w:r>
        <w:t xml:space="preserve">Add a confirmation_count field to each corpus point</w:t>
      </w:r>
    </w:p>
    <w:p>
      <w:pPr>
        <w:pStyle w:val="ListParagraph"/>
        <w:numPr>
          <w:ilvl w:val="0"/>
          <w:numId w:val="2"/>
        </w:numPr>
        <w:spacing w:after="60"/>
      </w:pPr>
      <w:r>
        <w:t xml:space="preserve">Expected improvement: cleaner corpus, better Context Precision</w:t>
      </w:r>
    </w:p>
    <w:p/>
    <w:p>
      <w:pPr>
        <w:pStyle w:val="Heading3"/>
      </w:pPr>
      <w:r>
        <w:t xml:space="preserve">2.1.8 Corpus Outlier Detection</w:t>
      </w:r>
    </w:p>
    <w:p>
      <w:r>
        <w:rPr>
          <w:rFonts w:ascii="Arial" w:cs="Arial" w:eastAsia="Arial" w:hAnsi="Arial"/>
          <w:sz w:val="20"/>
          <w:szCs w:val="20"/>
        </w:rPr>
        <w:t xml:space="preserve">A miscoded invoice that gets confirmed enters the corpus and corrupts future predictions for that vendor.</w:t>
      </w:r>
    </w:p>
    <w:p>
      <w:pPr>
        <w:pStyle w:val="ListParagraph"/>
        <w:numPr>
          <w:ilvl w:val="0"/>
          <w:numId w:val="2"/>
        </w:numPr>
        <w:spacing w:after="60"/>
      </w:pPr>
      <w:r>
        <w:t xml:space="preserve">On write-back, check the new GL against the vendor corpus distribution</w:t>
      </w:r>
    </w:p>
    <w:p>
      <w:pPr>
        <w:pStyle w:val="ListParagraph"/>
        <w:numPr>
          <w:ilvl w:val="0"/>
          <w:numId w:val="2"/>
        </w:numPr>
        <w:spacing w:after="60"/>
      </w:pPr>
      <w:r>
        <w:t xml:space="preserve">If new GL is a significant outlier (&gt;3 sigma from vendor mean), flag for secondary review before indexing</w:t>
      </w:r>
    </w:p>
    <w:p>
      <w:pPr>
        <w:pStyle w:val="ListParagraph"/>
        <w:numPr>
          <w:ilvl w:val="0"/>
          <w:numId w:val="2"/>
        </w:numPr>
        <w:spacing w:after="60"/>
      </w:pPr>
      <w:r>
        <w:t xml:space="preserve">Log flagged outliers to audit trail</w:t>
      </w:r>
    </w:p>
    <w:p>
      <w:pPr>
        <w:pStyle w:val="ListParagraph"/>
        <w:numPr>
          <w:ilvl w:val="0"/>
          <w:numId w:val="2"/>
        </w:numPr>
        <w:spacing w:after="60"/>
      </w:pPr>
      <w:r>
        <w:t xml:space="preserve">Do not block the write-back -- flag and index, but alert</w:t>
      </w:r>
    </w:p>
    <w:p/>
    <w:p>
      <w:pPr>
        <w:pStyle w:val="Heading3"/>
      </w:pPr>
      <w:r>
        <w:t xml:space="preserve">2.1.9 GraphRAG for Supplier Relationships</w:t>
      </w:r>
    </w:p>
    <w:p>
      <w:r>
        <w:rPr>
          <w:rFonts w:ascii="Arial" w:cs="Arial" w:eastAsia="Arial" w:hAnsi="Arial"/>
          <w:sz w:val="20"/>
          <w:szCs w:val="20"/>
        </w:rPr>
        <w:t xml:space="preserve">For complex supplier relationships and organisational hierarchies, graph-based RAG outperforms flat vector retrieval. A supplier with multiple subsidiaries, sites, and cost centres creates a natural graph structure that flat retrieval misses.</w:t>
      </w:r>
    </w:p>
    <w:p>
      <w:pPr>
        <w:pStyle w:val="ListParagraph"/>
        <w:numPr>
          <w:ilvl w:val="0"/>
          <w:numId w:val="2"/>
        </w:numPr>
        <w:spacing w:after="60"/>
      </w:pPr>
      <w:r>
        <w:t xml:space="preserve">Build a supplier knowledge graph: canonical_vendor -&gt; sites -&gt; cost_centres -&gt; GL_codes</w:t>
      </w:r>
    </w:p>
    <w:p>
      <w:pPr>
        <w:pStyle w:val="ListParagraph"/>
        <w:numPr>
          <w:ilvl w:val="0"/>
          <w:numId w:val="2"/>
        </w:numPr>
        <w:spacing w:after="60"/>
      </w:pPr>
      <w:r>
        <w:t xml:space="preserve">On retrieval, traverse the graph to find related evidence (same parent company, same site, same category)</w:t>
      </w:r>
    </w:p>
    <w:p>
      <w:pPr>
        <w:pStyle w:val="ListParagraph"/>
        <w:numPr>
          <w:ilvl w:val="0"/>
          <w:numId w:val="2"/>
        </w:numPr>
        <w:spacing w:after="60"/>
      </w:pPr>
      <w:r>
        <w:t xml:space="preserve">Blend graph-retrieved evidence with vector-retrieved evidence using RRF</w:t>
      </w:r>
    </w:p>
    <w:p>
      <w:pPr>
        <w:pStyle w:val="ListParagraph"/>
        <w:numPr>
          <w:ilvl w:val="0"/>
          <w:numId w:val="2"/>
        </w:numPr>
        <w:spacing w:after="60"/>
      </w:pPr>
      <w:r>
        <w:t xml:space="preserve">Microsoft GraphRAG or a custom NetworkX implementation both viable</w:t>
      </w:r>
    </w:p>
    <w:p>
      <w:pPr>
        <w:pStyle w:val="ListParagraph"/>
        <w:numPr>
          <w:ilvl w:val="0"/>
          <w:numId w:val="2"/>
        </w:numPr>
        <w:spacing w:after="60"/>
      </w:pPr>
      <w:r>
        <w:t xml:space="preserve">Expected improvement: evidence recall for complex supplier structures, better handling of subsidiary invoices</w:t>
      </w:r>
    </w:p>
    <w:p/>
    <w:p>
      <w:pPr>
        <w:pStyle w:val="Heading2"/>
      </w:pPr>
      <w:r>
        <w:t xml:space="preserve">2.2 Confidence Scoring</w:t>
      </w:r>
    </w:p>
    <w:p/>
    <w:p>
      <w:pPr>
        <w:pStyle w:val="Heading3"/>
      </w:pPr>
      <w:r>
        <w:t xml:space="preserve">2.2.1 Learned Weighting (Agreement/Similarity Split)</w:t>
      </w:r>
    </w:p>
    <w:p>
      <w:r>
        <w:rPr>
          <w:rFonts w:ascii="Arial" w:cs="Arial" w:eastAsia="Arial" w:hAnsi="Arial"/>
          <w:sz w:val="20"/>
          <w:szCs w:val="20"/>
        </w:rPr>
        <w:t xml:space="preserve">The current 0.7/0.3 agreement/similarity split is hand-tuned. It should be learned from confirmed outcomes over time.</w:t>
      </w:r>
    </w:p>
    <w:p>
      <w:pPr>
        <w:pStyle w:val="ListParagraph"/>
        <w:numPr>
          <w:ilvl w:val="0"/>
          <w:numId w:val="2"/>
        </w:numPr>
        <w:spacing w:after="60"/>
      </w:pPr>
      <w:r>
        <w:t xml:space="preserve">Log agreement_ratio and avg_similarity alongside correctness for every confirmation</w:t>
      </w:r>
    </w:p>
    <w:p>
      <w:pPr>
        <w:pStyle w:val="ListParagraph"/>
        <w:numPr>
          <w:ilvl w:val="0"/>
          <w:numId w:val="2"/>
        </w:numPr>
        <w:spacing w:after="60"/>
      </w:pPr>
      <w:r>
        <w:t xml:space="preserve">After 1,000 confirmed outcomes, fit a logistic regression to find optimal weights</w:t>
      </w:r>
    </w:p>
    <w:p>
      <w:pPr>
        <w:pStyle w:val="ListParagraph"/>
        <w:numPr>
          <w:ilvl w:val="0"/>
          <w:numId w:val="2"/>
        </w:numPr>
        <w:spacing w:after="60"/>
      </w:pPr>
      <w:r>
        <w:t xml:space="preserve">Update AGREEMENT_WEIGHT and SIMILARITY_WEIGHT in confidence.py from the fitted model</w:t>
      </w:r>
    </w:p>
    <w:p>
      <w:pPr>
        <w:pStyle w:val="ListParagraph"/>
        <w:numPr>
          <w:ilvl w:val="0"/>
          <w:numId w:val="2"/>
        </w:numPr>
        <w:spacing w:after="60"/>
      </w:pPr>
      <w:r>
        <w:t xml:space="preserve">Re-run RAGAS to confirm improvement</w:t>
      </w:r>
    </w:p>
    <w:p/>
    <w:p>
      <w:pPr>
        <w:pStyle w:val="Heading3"/>
      </w:pPr>
      <w:r>
        <w:t xml:space="preserve">2.2.2 Per-Vendor Adaptive Thresholds</w:t>
      </w:r>
    </w:p>
    <w:p>
      <w:r>
        <w:rPr>
          <w:rFonts w:ascii="Arial" w:cs="Arial" w:eastAsia="Arial" w:hAnsi="Arial"/>
          <w:sz w:val="20"/>
          <w:szCs w:val="20"/>
        </w:rPr>
        <w:t xml:space="preserve">A global 50% threshold is a blunt instrument. Vendors with consistent coding history should auto-post at lower confidence; vendors with mixed history should require higher confidence.</w:t>
      </w:r>
    </w:p>
    <w:p>
      <w:pPr>
        <w:pStyle w:val="ListParagraph"/>
        <w:numPr>
          <w:ilvl w:val="0"/>
          <w:numId w:val="2"/>
        </w:numPr>
        <w:spacing w:after="60"/>
      </w:pPr>
      <w:r>
        <w:t xml:space="preserve">Track per-vendor accuracy over last 100 confirmations</w:t>
      </w:r>
    </w:p>
    <w:p>
      <w:pPr>
        <w:pStyle w:val="ListParagraph"/>
        <w:numPr>
          <w:ilvl w:val="0"/>
          <w:numId w:val="2"/>
        </w:numPr>
        <w:spacing w:after="60"/>
      </w:pPr>
      <w:r>
        <w:t xml:space="preserve">High-accuracy vendors (&gt;99%): lower threshold to 0.40</w:t>
      </w:r>
    </w:p>
    <w:p>
      <w:pPr>
        <w:pStyle w:val="ListParagraph"/>
        <w:numPr>
          <w:ilvl w:val="0"/>
          <w:numId w:val="2"/>
        </w:numPr>
        <w:spacing w:after="60"/>
      </w:pPr>
      <w:r>
        <w:t xml:space="preserve">Mixed-accuracy vendors (&lt;95%): raise threshold to 0.65</w:t>
      </w:r>
    </w:p>
    <w:p>
      <w:pPr>
        <w:pStyle w:val="ListParagraph"/>
        <w:numPr>
          <w:ilvl w:val="0"/>
          <w:numId w:val="2"/>
        </w:numPr>
        <w:spacing w:after="60"/>
      </w:pPr>
      <w:r>
        <w:t xml:space="preserve">Store in VENDOR_THRESHOLDS dict -- already partially implemented</w:t>
      </w:r>
    </w:p>
    <w:p/>
    <w:p>
      <w:pPr>
        <w:pStyle w:val="Heading3"/>
      </w:pPr>
      <w:r>
        <w:t xml:space="preserve">2.2.3 Confirmation Source Weighting</w:t>
      </w:r>
    </w:p>
    <w:p>
      <w:r>
        <w:rPr>
          <w:rFonts w:ascii="Arial" w:cs="Arial" w:eastAsia="Arial" w:hAnsi="Arial"/>
          <w:sz w:val="20"/>
          <w:szCs w:val="20"/>
        </w:rPr>
        <w:t xml:space="preserve">A human correction is stronger evidence than a routine auto-post confirmation. The write-back loop currently treats them equally.</w:t>
      </w:r>
    </w:p>
    <w:p>
      <w:pPr>
        <w:pStyle w:val="ListParagraph"/>
        <w:numPr>
          <w:ilvl w:val="0"/>
          <w:numId w:val="2"/>
        </w:numPr>
        <w:spacing w:after="60"/>
      </w:pPr>
      <w:r>
        <w:t xml:space="preserve">Add source_weight to index_outcome payload</w:t>
      </w:r>
    </w:p>
    <w:p>
      <w:pPr>
        <w:pStyle w:val="ListParagraph"/>
        <w:numPr>
          <w:ilvl w:val="0"/>
          <w:numId w:val="2"/>
        </w:numPr>
        <w:spacing w:after="60"/>
      </w:pPr>
      <w:r>
        <w:t xml:space="preserve">Human correction: weight 2.0 (strong signal, policy change or error)</w:t>
      </w:r>
    </w:p>
    <w:p>
      <w:pPr>
        <w:pStyle w:val="ListParagraph"/>
        <w:numPr>
          <w:ilvl w:val="0"/>
          <w:numId w:val="2"/>
        </w:numPr>
        <w:spacing w:after="60"/>
      </w:pPr>
      <w:r>
        <w:t xml:space="preserve">Human confirmation: weight 1.5 (validated by a person)</w:t>
      </w:r>
    </w:p>
    <w:p>
      <w:pPr>
        <w:pStyle w:val="ListParagraph"/>
        <w:numPr>
          <w:ilvl w:val="0"/>
          <w:numId w:val="2"/>
        </w:numPr>
        <w:spacing w:after="60"/>
      </w:pPr>
      <w:r>
        <w:t xml:space="preserve">Auto-post: weight 1.0 (system confirmed)</w:t>
      </w:r>
    </w:p>
    <w:p>
      <w:pPr>
        <w:pStyle w:val="ListParagraph"/>
        <w:numPr>
          <w:ilvl w:val="0"/>
          <w:numId w:val="2"/>
        </w:numPr>
        <w:spacing w:after="60"/>
      </w:pPr>
      <w:r>
        <w:t xml:space="preserve">Use weight in RRF score calculation</w:t>
      </w:r>
    </w:p>
    <w:p/>
    <w:p>
      <w:pPr>
        <w:pStyle w:val="Heading3"/>
      </w:pPr>
      <w:r>
        <w:t xml:space="preserve">2.2.4 Amount-Band Confidence Weighting</w:t>
      </w:r>
    </w:p>
    <w:p>
      <w:r>
        <w:rPr>
          <w:rFonts w:ascii="Arial" w:cs="Arial" w:eastAsia="Arial" w:hAnsi="Arial"/>
          <w:sz w:val="20"/>
          <w:szCs w:val="20"/>
        </w:rPr>
        <w:t xml:space="preserve">A 50,000 GBP invoice should require higher confidence than a 200 GBP one.</w:t>
      </w:r>
    </w:p>
    <w:p>
      <w:pPr>
        <w:pStyle w:val="ListParagraph"/>
        <w:numPr>
          <w:ilvl w:val="0"/>
          <w:numId w:val="2"/>
        </w:numPr>
        <w:spacing w:after="60"/>
      </w:pPr>
      <w:r>
        <w:t xml:space="preserve">Large (&gt;10k GBP): threshold 0.70 instead of 0.50</w:t>
      </w:r>
    </w:p>
    <w:p>
      <w:pPr>
        <w:pStyle w:val="ListParagraph"/>
        <w:numPr>
          <w:ilvl w:val="0"/>
          <w:numId w:val="2"/>
        </w:numPr>
        <w:spacing w:after="60"/>
      </w:pPr>
      <w:r>
        <w:t xml:space="preserve">Medium (1k-10k GBP): threshold 0.55</w:t>
      </w:r>
    </w:p>
    <w:p>
      <w:pPr>
        <w:pStyle w:val="ListParagraph"/>
        <w:numPr>
          <w:ilvl w:val="0"/>
          <w:numId w:val="2"/>
        </w:numPr>
        <w:spacing w:after="60"/>
      </w:pPr>
      <w:r>
        <w:t xml:space="preserve">Small (&lt;1k GBP): threshold 0.50 (current default)</w:t>
      </w:r>
    </w:p>
    <w:p>
      <w:pPr>
        <w:pStyle w:val="ListParagraph"/>
        <w:numPr>
          <w:ilvl w:val="0"/>
          <w:numId w:val="2"/>
        </w:numPr>
        <w:spacing w:after="60"/>
      </w:pPr>
      <w:r>
        <w:t xml:space="preserve">Very large (&gt;50k GBP): always route to human review regardless of confidence</w:t>
      </w:r>
    </w:p>
    <w:p/>
    <w:p>
      <w:pPr>
        <w:pStyle w:val="Heading2"/>
      </w:pPr>
      <w:r>
        <w:t xml:space="preserve">2.3 Multimodal Ingestion</w:t>
      </w:r>
    </w:p>
    <w:p>
      <w:r>
        <w:rPr>
          <w:rFonts w:ascii="Arial" w:cs="Arial" w:eastAsia="Arial" w:hAnsi="Arial"/>
          <w:sz w:val="20"/>
          <w:szCs w:val="20"/>
        </w:rPr>
        <w:t xml:space="preserve">Invoices frequently arrive as PDFs or images. A text-only pipeline misses a significant portion of real-world invoice volume and requires a pre-processing step that introduces error.</w:t>
      </w:r>
    </w:p>
    <w:p/>
    <w:p>
      <w:pPr>
        <w:pStyle w:val="Heading3"/>
      </w:pPr>
      <w:r>
        <w:t xml:space="preserve">2.3.1 PDF Ingestion Pipeline</w:t>
      </w:r>
    </w:p>
    <w:p>
      <w:pPr>
        <w:pStyle w:val="ListParagraph"/>
        <w:numPr>
          <w:ilvl w:val="0"/>
          <w:numId w:val="2"/>
        </w:numPr>
        <w:spacing w:after="60"/>
      </w:pPr>
      <w:r>
        <w:t xml:space="preserve">PDFs with selectable text: extract text layer directly -- no OCR required</w:t>
      </w:r>
    </w:p>
    <w:p>
      <w:pPr>
        <w:pStyle w:val="ListParagraph"/>
        <w:numPr>
          <w:ilvl w:val="0"/>
          <w:numId w:val="2"/>
        </w:numPr>
        <w:spacing w:after="60"/>
      </w:pPr>
      <w:r>
        <w:t xml:space="preserve">PDFs that are scanned images: route to vision model for OCR</w:t>
      </w:r>
    </w:p>
    <w:p>
      <w:pPr>
        <w:pStyle w:val="ListParagraph"/>
        <w:numPr>
          <w:ilvl w:val="0"/>
          <w:numId w:val="2"/>
        </w:numPr>
        <w:spacing w:after="60"/>
      </w:pPr>
      <w:r>
        <w:t xml:space="preserve">Structured extraction: use Claude or GPT-4o vision to extract vendor name, description, amount, VAT code from PDF layout</w:t>
      </w:r>
    </w:p>
    <w:p>
      <w:pPr>
        <w:pStyle w:val="ListParagraph"/>
        <w:numPr>
          <w:ilvl w:val="0"/>
          <w:numId w:val="2"/>
        </w:numPr>
        <w:spacing w:after="60"/>
      </w:pPr>
      <w:r>
        <w:t xml:space="preserve">Confidence flag on extraction: low-confidence extractions flagged before entering the RAG pipeline</w:t>
      </w:r>
    </w:p>
    <w:p>
      <w:pPr>
        <w:pStyle w:val="ListParagraph"/>
        <w:numPr>
          <w:ilvl w:val="0"/>
          <w:numId w:val="2"/>
        </w:numPr>
        <w:spacing w:after="60"/>
      </w:pPr>
      <w:r>
        <w:t xml:space="preserve">Store original PDF reference alongside corpus point -- auditable</w:t>
      </w:r>
    </w:p>
    <w:p/>
    <w:p>
      <w:pPr>
        <w:pStyle w:val="Heading3"/>
      </w:pPr>
      <w:r>
        <w:t xml:space="preserve">2.3.2 ColPali for Visual Invoice Understanding</w:t>
      </w:r>
    </w:p>
    <w:p>
      <w:r>
        <w:rPr>
          <w:rFonts w:ascii="Arial" w:cs="Arial" w:eastAsia="Arial" w:hAnsi="Arial"/>
          <w:sz w:val="20"/>
          <w:szCs w:val="20"/>
        </w:rPr>
        <w:t xml:space="preserve">ColPali is a multimodal late interaction retrieval model that can retrieve based on visual layout as well as text content. This is particularly valuable for invoices where the visual structure (table layout, logo, header format) carries signal about the supplier and transaction type.</w:t>
      </w:r>
    </w:p>
    <w:p>
      <w:pPr>
        <w:pStyle w:val="ListParagraph"/>
        <w:numPr>
          <w:ilvl w:val="0"/>
          <w:numId w:val="2"/>
        </w:numPr>
        <w:spacing w:after="60"/>
      </w:pPr>
      <w:r>
        <w:t xml:space="preserve">Index invoice page images alongside text embeddings in Qdrant (multi-vector)</w:t>
      </w:r>
    </w:p>
    <w:p>
      <w:pPr>
        <w:pStyle w:val="ListParagraph"/>
        <w:numPr>
          <w:ilvl w:val="0"/>
          <w:numId w:val="2"/>
        </w:numPr>
        <w:spacing w:after="60"/>
      </w:pPr>
      <w:r>
        <w:t xml:space="preserve">At retrieval time, use ColPali to retrieve based on visual similarity as well as text similarity</w:t>
      </w:r>
    </w:p>
    <w:p>
      <w:pPr>
        <w:pStyle w:val="ListParagraph"/>
        <w:numPr>
          <w:ilvl w:val="0"/>
          <w:numId w:val="2"/>
        </w:numPr>
        <w:spacing w:after="60"/>
      </w:pPr>
      <w:r>
        <w:t xml:space="preserve">Blend ColPali retrieval with dense text retrieval using RRF</w:t>
      </w:r>
    </w:p>
    <w:p>
      <w:pPr>
        <w:pStyle w:val="ListParagraph"/>
        <w:numPr>
          <w:ilvl w:val="0"/>
          <w:numId w:val="2"/>
        </w:numPr>
        <w:spacing w:after="60"/>
      </w:pPr>
      <w:r>
        <w:t xml:space="preserve">Especially valuable for suppliers who use non-standard invoice formats</w:t>
      </w:r>
    </w:p>
    <w:p>
      <w:pPr>
        <w:pStyle w:val="ListParagraph"/>
        <w:numPr>
          <w:ilvl w:val="0"/>
          <w:numId w:val="2"/>
        </w:numPr>
        <w:spacing w:after="60"/>
      </w:pPr>
      <w:r>
        <w:t xml:space="preserve">Requires Qdrant multi-vector storage -- supported natively</w:t>
      </w:r>
    </w:p>
    <w:p/>
    <w:p>
      <w:pPr>
        <w:pStyle w:val="Heading3"/>
      </w:pPr>
      <w:r>
        <w:t xml:space="preserve">2.3.3 Structured Extraction Validation</w:t>
      </w:r>
    </w:p>
    <w:p>
      <w:pPr>
        <w:pStyle w:val="ListParagraph"/>
        <w:numPr>
          <w:ilvl w:val="0"/>
          <w:numId w:val="2"/>
        </w:numPr>
        <w:spacing w:after="60"/>
      </w:pPr>
      <w:r>
        <w:t xml:space="preserve">After extraction, validate all fields against known schema: vendor name, amount (numeric), currency (ISO 4217), GL code (if pre-coded), VAT code</w:t>
      </w:r>
    </w:p>
    <w:p>
      <w:pPr>
        <w:pStyle w:val="ListParagraph"/>
        <w:numPr>
          <w:ilvl w:val="0"/>
          <w:numId w:val="2"/>
        </w:numPr>
        <w:spacing w:after="60"/>
      </w:pPr>
      <w:r>
        <w:t xml:space="preserve">Flag extractions where required fields are missing or fail validation</w:t>
      </w:r>
    </w:p>
    <w:p>
      <w:pPr>
        <w:pStyle w:val="ListParagraph"/>
        <w:numPr>
          <w:ilvl w:val="0"/>
          <w:numId w:val="2"/>
        </w:numPr>
        <w:spacing w:after="60"/>
      </w:pPr>
      <w:r>
        <w:t xml:space="preserve">Do not enter the RAG pipeline with incomplete extractions -- route to human data entry</w:t>
      </w:r>
    </w:p>
    <w:p/>
    <w:p>
      <w:pPr>
        <w:pStyle w:val="Heading2"/>
      </w:pPr>
      <w:r>
        <w:t xml:space="preserve">2.4 Embeddings</w:t>
      </w:r>
    </w:p>
    <w:p/>
    <w:p>
      <w:pPr>
        <w:pStyle w:val="Heading3"/>
      </w:pPr>
      <w:r>
        <w:t xml:space="preserve">2.4.1 Embedding Fine-Tuning on Invoice Terminology</w:t>
      </w:r>
    </w:p>
    <w:p>
      <w:r>
        <w:rPr>
          <w:rFonts w:ascii="Arial" w:cs="Arial" w:eastAsia="Arial" w:hAnsi="Arial"/>
          <w:sz w:val="20"/>
          <w:szCs w:val="20"/>
        </w:rPr>
        <w:t xml:space="preserve">General-purpose embeddings (text-embedding-3-small) may not optimally represent domain-specific invoice terminology. Fine-tuning on confirmed invoice pairs improves retrieval precision.</w:t>
      </w:r>
    </w:p>
    <w:p>
      <w:pPr>
        <w:pStyle w:val="ListParagraph"/>
        <w:numPr>
          <w:ilvl w:val="0"/>
          <w:numId w:val="2"/>
        </w:numPr>
        <w:spacing w:after="60"/>
      </w:pPr>
      <w:r>
        <w:t xml:space="preserve">Collect pairs: (invoice description, confirmed GL code) from corpus</w:t>
      </w:r>
    </w:p>
    <w:p>
      <w:pPr>
        <w:pStyle w:val="ListParagraph"/>
        <w:numPr>
          <w:ilvl w:val="0"/>
          <w:numId w:val="2"/>
        </w:numPr>
        <w:spacing w:after="60"/>
      </w:pPr>
      <w:r>
        <w:t xml:space="preserve">Fine-tune embedding model using contrastive learning: same GL = closer in embedding space</w:t>
      </w:r>
    </w:p>
    <w:p>
      <w:pPr>
        <w:pStyle w:val="ListParagraph"/>
        <w:numPr>
          <w:ilvl w:val="0"/>
          <w:numId w:val="2"/>
        </w:numPr>
        <w:spacing w:after="60"/>
      </w:pPr>
      <w:r>
        <w:t xml:space="preserve">Evaluate fine-tuned model against RAGAS Context Recall baseline before deploying</w:t>
      </w:r>
    </w:p>
    <w:p>
      <w:pPr>
        <w:pStyle w:val="ListParagraph"/>
        <w:numPr>
          <w:ilvl w:val="0"/>
          <w:numId w:val="2"/>
        </w:numPr>
        <w:spacing w:after="60"/>
      </w:pPr>
      <w:r>
        <w:t xml:space="preserve">OpenAI fine-tuning API supports embedding fine-tuning -- or use open-source alternative (BGE, E5)</w:t>
      </w:r>
    </w:p>
    <w:p>
      <w:pPr>
        <w:pStyle w:val="ListParagraph"/>
        <w:numPr>
          <w:ilvl w:val="0"/>
          <w:numId w:val="2"/>
        </w:numPr>
        <w:spacing w:after="60"/>
      </w:pPr>
      <w:r>
        <w:t xml:space="preserve">Re-embed entire corpus with fine-tuned model atomically -- swap collection, verify, then switch</w:t>
      </w:r>
    </w:p>
    <w:p>
      <w:pPr>
        <w:pStyle w:val="ListParagraph"/>
        <w:numPr>
          <w:ilvl w:val="0"/>
          <w:numId w:val="2"/>
        </w:numPr>
        <w:spacing w:after="60"/>
      </w:pPr>
      <w:r>
        <w:t xml:space="preserve">Expected improvement: Context Recall +5-10pp on domain-specific terminology</w:t>
      </w:r>
    </w:p>
    <w:p/>
    <w:p>
      <w:pPr>
        <w:pStyle w:val="Heading3"/>
      </w:pPr>
      <w:r>
        <w:t xml:space="preserve">2.4.2 Description Preprocessing</w:t>
      </w:r>
    </w:p>
    <w:p>
      <w:r>
        <w:rPr>
          <w:rFonts w:ascii="Arial" w:cs="Arial" w:eastAsia="Arial" w:hAnsi="Arial"/>
          <w:sz w:val="20"/>
          <w:szCs w:val="20"/>
        </w:rPr>
        <w:t xml:space="preserve">Invoice descriptions contain noise that hurts embedding quality.</w:t>
      </w:r>
    </w:p>
    <w:p>
      <w:pPr>
        <w:pStyle w:val="ListParagraph"/>
        <w:numPr>
          <w:ilvl w:val="0"/>
          <w:numId w:val="2"/>
        </w:numPr>
        <w:spacing w:after="60"/>
      </w:pPr>
      <w:r>
        <w:t xml:space="preserve">Strip leading/trailing reference numbers (regex: [A-Z]{2,}-[0-9]+)</w:t>
      </w:r>
    </w:p>
    <w:p>
      <w:pPr>
        <w:pStyle w:val="ListParagraph"/>
        <w:numPr>
          <w:ilvl w:val="0"/>
          <w:numId w:val="2"/>
        </w:numPr>
        <w:spacing w:after="60"/>
      </w:pPr>
      <w:r>
        <w:t xml:space="preserve">Remove date patterns from descriptions before embedding</w:t>
      </w:r>
    </w:p>
    <w:p>
      <w:pPr>
        <w:pStyle w:val="ListParagraph"/>
        <w:numPr>
          <w:ilvl w:val="0"/>
          <w:numId w:val="2"/>
        </w:numPr>
        <w:spacing w:after="60"/>
      </w:pPr>
      <w:r>
        <w:t xml:space="preserve">Normalise whitespace and capitalisation</w:t>
      </w:r>
    </w:p>
    <w:p>
      <w:pPr>
        <w:pStyle w:val="ListParagraph"/>
        <w:numPr>
          <w:ilvl w:val="0"/>
          <w:numId w:val="2"/>
        </w:numPr>
        <w:spacing w:after="60"/>
      </w:pPr>
      <w:r>
        <w:t xml:space="preserve">Do NOT remove invoice-specific nouns (Q3, monthly, annual) -- they carry signal</w:t>
      </w:r>
    </w:p>
    <w:p/>
    <w:p>
      <w:pPr>
        <w:pStyle w:val="Heading3"/>
      </w:pPr>
      <w:r>
        <w:t xml:space="preserve">2.4.3 Periodic Re-Embedding on Model Updates</w:t>
      </w:r>
    </w:p>
    <w:p>
      <w:r>
        <w:rPr>
          <w:rFonts w:ascii="Arial" w:cs="Arial" w:eastAsia="Arial" w:hAnsi="Arial"/>
          <w:sz w:val="20"/>
          <w:szCs w:val="20"/>
        </w:rPr>
        <w:t xml:space="preserve">If OpenAI update text-embedding-3-small, the corpus vectors become stale.</w:t>
      </w:r>
    </w:p>
    <w:p>
      <w:pPr>
        <w:pStyle w:val="ListParagraph"/>
        <w:numPr>
          <w:ilvl w:val="0"/>
          <w:numId w:val="2"/>
        </w:numPr>
        <w:spacing w:after="60"/>
      </w:pPr>
      <w:r>
        <w:t xml:space="preserve">Track the embedding model version on every corpus point</w:t>
      </w:r>
    </w:p>
    <w:p>
      <w:pPr>
        <w:pStyle w:val="ListParagraph"/>
        <w:numPr>
          <w:ilvl w:val="0"/>
          <w:numId w:val="2"/>
        </w:numPr>
        <w:spacing w:after="60"/>
      </w:pPr>
      <w:r>
        <w:t xml:space="preserve">On model version change: trigger a background re-embedding job</w:t>
      </w:r>
    </w:p>
    <w:p>
      <w:pPr>
        <w:pStyle w:val="ListParagraph"/>
        <w:numPr>
          <w:ilvl w:val="0"/>
          <w:numId w:val="2"/>
        </w:numPr>
        <w:spacing w:after="60"/>
      </w:pPr>
      <w:r>
        <w:t xml:space="preserve">Re-embed in batches of 1,000 to stay within rate limits</w:t>
      </w:r>
    </w:p>
    <w:p>
      <w:pPr>
        <w:pStyle w:val="ListParagraph"/>
        <w:numPr>
          <w:ilvl w:val="0"/>
          <w:numId w:val="2"/>
        </w:numPr>
        <w:spacing w:after="60"/>
      </w:pPr>
      <w:r>
        <w:t xml:space="preserve">Swap corpus collection atomically -- maintain the old one until the new one is verified</w:t>
      </w:r>
    </w:p>
    <w:p/>
    <w:p>
      <w:pPr>
        <w:pStyle w:val="Heading1"/>
      </w:pPr>
      <w:r>
        <w:t xml:space="preserve">3. Priority Order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500"/>
        <w:gridCol w:w="2760"/>
      </w:tblGrid>
      <w:tr>
        <w:trPr>
          <w:tblHeader/>
        </w:trPr>
        <w:tc>
          <w:tcPr>
            <w:tcW w:type="dxa" w:w="600"/>
            <w:shd w:color="E2E8F0" w:val="clear"/>
          </w:tcPr>
          <w:p>
            <w:r>
              <w:rPr>
                <w:rFonts w:ascii="Arial" w:cs="Arial" w:eastAsia="Arial" w:hAnsi="Arial"/>
                <w:b/>
                <w:bCs/>
                <w:sz w:val="18"/>
                <w:szCs w:val="18"/>
              </w:rPr>
              <w:t xml:space="preserve">Priority</w:t>
            </w:r>
          </w:p>
        </w:tc>
        <w:tc>
          <w:tcPr>
            <w:tcW w:type="dxa" w:w="4500"/>
            <w:shd w:color="E2E8F0" w:val="clear"/>
          </w:tcPr>
          <w:p>
            <w:r>
              <w:rPr>
                <w:rFonts w:ascii="Arial" w:cs="Arial" w:eastAsia="Arial" w:hAnsi="Arial"/>
                <w:b/>
                <w:bCs/>
                <w:sz w:val="18"/>
                <w:szCs w:val="18"/>
              </w:rPr>
              <w:t xml:space="preserve">Item</w:t>
            </w:r>
          </w:p>
        </w:tc>
        <w:tc>
          <w:tcPr>
            <w:tcW w:type="dxa" w:w="1500"/>
            <w:shd w:color="E2E8F0" w:val="clear"/>
          </w:tcPr>
          <w:p>
            <w:r>
              <w:rPr>
                <w:rFonts w:ascii="Arial" w:cs="Arial" w:eastAsia="Arial" w:hAnsi="Arial"/>
                <w:b/>
                <w:bCs/>
                <w:sz w:val="18"/>
                <w:szCs w:val="18"/>
              </w:rPr>
              <w:t xml:space="preserve">Layer</w:t>
            </w:r>
          </w:p>
        </w:tc>
        <w:tc>
          <w:tcPr>
            <w:tcW w:type="dxa" w:w="2760"/>
            <w:shd w:color="E2E8F0" w:val="clear"/>
          </w:tcPr>
          <w:p>
            <w:r>
              <w:rPr>
                <w:rFonts w:ascii="Arial" w:cs="Arial" w:eastAsia="Arial" w:hAnsi="Arial"/>
                <w:b/>
                <w:bCs/>
                <w:sz w:val="18"/>
                <w:szCs w:val="18"/>
              </w:rPr>
              <w:t xml:space="preserve">Expected Impact</w:t>
            </w:r>
          </w:p>
        </w:tc>
      </w:tr>
      <w:tr>
        <w:tc>
          <w:p>
            <w:r>
              <w:rPr>
                <w:rFonts w:ascii="Arial" w:cs="Arial" w:eastAsia="Arial" w:hAnsi="Arial"/>
                <w:b w:val="false"/>
                <w:bCs w:val="false"/>
                <w:sz w:val="18"/>
                <w:szCs w:val="18"/>
              </w:rPr>
              <w:t xml:space="preserve">1</w:t>
            </w:r>
          </w:p>
        </w:tc>
        <w:tc>
          <w:p>
            <w:r>
              <w:rPr>
                <w:rFonts w:ascii="Arial" w:cs="Arial" w:eastAsia="Arial" w:hAnsi="Arial"/>
                <w:b w:val="false"/>
                <w:bCs w:val="false"/>
                <w:sz w:val="18"/>
                <w:szCs w:val="18"/>
              </w:rPr>
              <w:t xml:space="preserve">RAGAS baseline + eval dashboard</w:t>
            </w:r>
          </w:p>
        </w:tc>
        <w:tc>
          <w:p>
            <w:r>
              <w:rPr>
                <w:rFonts w:ascii="Arial" w:cs="Arial" w:eastAsia="Arial" w:hAnsi="Arial"/>
                <w:b w:val="false"/>
                <w:bCs w:val="false"/>
                <w:sz w:val="18"/>
                <w:szCs w:val="18"/>
              </w:rPr>
              <w:t xml:space="preserve">Evaluation</w:t>
            </w:r>
          </w:p>
        </w:tc>
        <w:tc>
          <w:p>
            <w:r>
              <w:rPr>
                <w:rFonts w:ascii="Arial" w:cs="Arial" w:eastAsia="Arial" w:hAnsi="Arial"/>
                <w:b w:val="false"/>
                <w:bCs w:val="false"/>
                <w:sz w:val="18"/>
                <w:szCs w:val="18"/>
              </w:rPr>
              <w:t xml:space="preserve">Sets the benchmark</w:t>
            </w:r>
          </w:p>
        </w:tc>
      </w:tr>
      <w:tr>
        <w:tc>
          <w:p>
            <w:r>
              <w:rPr>
                <w:rFonts w:ascii="Arial" w:cs="Arial" w:eastAsia="Arial" w:hAnsi="Arial"/>
                <w:b w:val="false"/>
                <w:bCs w:val="false"/>
                <w:sz w:val="18"/>
                <w:szCs w:val="18"/>
              </w:rPr>
              <w:t xml:space="preserve">2</w:t>
            </w:r>
          </w:p>
        </w:tc>
        <w:tc>
          <w:p>
            <w:r>
              <w:rPr>
                <w:rFonts w:ascii="Arial" w:cs="Arial" w:eastAsia="Arial" w:hAnsi="Arial"/>
                <w:b w:val="false"/>
                <w:bCs w:val="false"/>
                <w:sz w:val="18"/>
                <w:szCs w:val="18"/>
              </w:rPr>
              <w:t xml:space="preserve">Cross-encoder re-ranking</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Context Precision +5-10pp</w:t>
            </w:r>
          </w:p>
        </w:tc>
      </w:tr>
      <w:tr>
        <w:tc>
          <w:p>
            <w:r>
              <w:rPr>
                <w:rFonts w:ascii="Arial" w:cs="Arial" w:eastAsia="Arial" w:hAnsi="Arial"/>
                <w:b w:val="false"/>
                <w:bCs w:val="false"/>
                <w:sz w:val="18"/>
                <w:szCs w:val="18"/>
              </w:rPr>
              <w:t xml:space="preserve">3</w:t>
            </w:r>
          </w:p>
        </w:tc>
        <w:tc>
          <w:p>
            <w:r>
              <w:rPr>
                <w:rFonts w:ascii="Arial" w:cs="Arial" w:eastAsia="Arial" w:hAnsi="Arial"/>
                <w:b w:val="false"/>
                <w:bCs w:val="false"/>
                <w:sz w:val="18"/>
                <w:szCs w:val="18"/>
              </w:rPr>
              <w:t xml:space="preserve">Late interaction models (ColBERT)</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Context Precision +8-15pp</w:t>
            </w:r>
          </w:p>
        </w:tc>
      </w:tr>
      <w:tr>
        <w:tc>
          <w:p>
            <w:r>
              <w:rPr>
                <w:rFonts w:ascii="Arial" w:cs="Arial" w:eastAsia="Arial" w:hAnsi="Arial"/>
                <w:b w:val="false"/>
                <w:bCs w:val="false"/>
                <w:sz w:val="18"/>
                <w:szCs w:val="18"/>
              </w:rPr>
              <w:t xml:space="preserve">4</w:t>
            </w:r>
          </w:p>
        </w:tc>
        <w:tc>
          <w:p>
            <w:r>
              <w:rPr>
                <w:rFonts w:ascii="Arial" w:cs="Arial" w:eastAsia="Arial" w:hAnsi="Arial"/>
                <w:b w:val="false"/>
                <w:bCs w:val="false"/>
                <w:sz w:val="18"/>
                <w:szCs w:val="18"/>
              </w:rPr>
              <w:t xml:space="preserve">Temporal decay on evidence</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Prevents stale corpus</w:t>
            </w:r>
          </w:p>
        </w:tc>
      </w:tr>
      <w:tr>
        <w:tc>
          <w:p>
            <w:r>
              <w:rPr>
                <w:rFonts w:ascii="Arial" w:cs="Arial" w:eastAsia="Arial" w:hAnsi="Arial"/>
                <w:b w:val="false"/>
                <w:bCs w:val="false"/>
                <w:sz w:val="18"/>
                <w:szCs w:val="18"/>
              </w:rPr>
              <w:t xml:space="preserve">5</w:t>
            </w:r>
          </w:p>
        </w:tc>
        <w:tc>
          <w:p>
            <w:r>
              <w:rPr>
                <w:rFonts w:ascii="Arial" w:cs="Arial" w:eastAsia="Arial" w:hAnsi="Arial"/>
                <w:b w:val="false"/>
                <w:bCs w:val="false"/>
                <w:sz w:val="18"/>
                <w:szCs w:val="18"/>
              </w:rPr>
              <w:t xml:space="preserve">Corpus deduplication</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Cleaner corpus, better precision</w:t>
            </w:r>
          </w:p>
        </w:tc>
      </w:tr>
      <w:tr>
        <w:tc>
          <w:p>
            <w:r>
              <w:rPr>
                <w:rFonts w:ascii="Arial" w:cs="Arial" w:eastAsia="Arial" w:hAnsi="Arial"/>
                <w:b w:val="false"/>
                <w:bCs w:val="false"/>
                <w:sz w:val="18"/>
                <w:szCs w:val="18"/>
              </w:rPr>
              <w:t xml:space="preserve">6</w:t>
            </w:r>
          </w:p>
        </w:tc>
        <w:tc>
          <w:p>
            <w:r>
              <w:rPr>
                <w:rFonts w:ascii="Arial" w:cs="Arial" w:eastAsia="Arial" w:hAnsi="Arial"/>
                <w:b w:val="false"/>
                <w:bCs w:val="false"/>
                <w:sz w:val="18"/>
                <w:szCs w:val="18"/>
              </w:rPr>
              <w:t xml:space="preserve">Corpus outlier detection</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Prevents miscoded invoices corrupting corpus</w:t>
            </w:r>
          </w:p>
        </w:tc>
      </w:tr>
      <w:tr>
        <w:tc>
          <w:p>
            <w:r>
              <w:rPr>
                <w:rFonts w:ascii="Arial" w:cs="Arial" w:eastAsia="Arial" w:hAnsi="Arial"/>
                <w:b w:val="false"/>
                <w:bCs w:val="false"/>
                <w:sz w:val="18"/>
                <w:szCs w:val="18"/>
              </w:rPr>
              <w:t xml:space="preserve">7</w:t>
            </w:r>
          </w:p>
        </w:tc>
        <w:tc>
          <w:p>
            <w:r>
              <w:rPr>
                <w:rFonts w:ascii="Arial" w:cs="Arial" w:eastAsia="Arial" w:hAnsi="Arial"/>
                <w:b w:val="false"/>
                <w:bCs w:val="false"/>
                <w:sz w:val="18"/>
                <w:szCs w:val="18"/>
              </w:rPr>
              <w:t xml:space="preserve">PDF ingestion pipeline</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Handles real-world invoice formats</w:t>
            </w:r>
          </w:p>
        </w:tc>
      </w:tr>
      <w:tr>
        <w:tc>
          <w:p>
            <w:r>
              <w:rPr>
                <w:rFonts w:ascii="Arial" w:cs="Arial" w:eastAsia="Arial" w:hAnsi="Arial"/>
                <w:b w:val="false"/>
                <w:bCs w:val="false"/>
                <w:sz w:val="18"/>
                <w:szCs w:val="18"/>
              </w:rPr>
              <w:t xml:space="preserve">8</w:t>
            </w:r>
          </w:p>
        </w:tc>
        <w:tc>
          <w:p>
            <w:r>
              <w:rPr>
                <w:rFonts w:ascii="Arial" w:cs="Arial" w:eastAsia="Arial" w:hAnsi="Arial"/>
                <w:b w:val="false"/>
                <w:bCs w:val="false"/>
                <w:sz w:val="18"/>
                <w:szCs w:val="18"/>
              </w:rPr>
              <w:t xml:space="preserve">ColPali multimodal retrieval</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Visual invoice understanding</w:t>
            </w:r>
          </w:p>
        </w:tc>
      </w:tr>
      <w:tr>
        <w:tc>
          <w:p>
            <w:r>
              <w:rPr>
                <w:rFonts w:ascii="Arial" w:cs="Arial" w:eastAsia="Arial" w:hAnsi="Arial"/>
                <w:b w:val="false"/>
                <w:bCs w:val="false"/>
                <w:sz w:val="18"/>
                <w:szCs w:val="18"/>
              </w:rPr>
              <w:t xml:space="preserve">9</w:t>
            </w:r>
          </w:p>
        </w:tc>
        <w:tc>
          <w:p>
            <w:r>
              <w:rPr>
                <w:rFonts w:ascii="Arial" w:cs="Arial" w:eastAsia="Arial" w:hAnsi="Arial"/>
                <w:b w:val="false"/>
                <w:bCs w:val="false"/>
                <w:sz w:val="18"/>
                <w:szCs w:val="18"/>
              </w:rPr>
              <w:t xml:space="preserve">Amount-band confidence weighting</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Better governance on high-value invoices</w:t>
            </w:r>
          </w:p>
        </w:tc>
      </w:tr>
      <w:tr>
        <w:tc>
          <w:p>
            <w:r>
              <w:rPr>
                <w:rFonts w:ascii="Arial" w:cs="Arial" w:eastAsia="Arial" w:hAnsi="Arial"/>
                <w:b w:val="false"/>
                <w:bCs w:val="false"/>
                <w:sz w:val="18"/>
                <w:szCs w:val="18"/>
              </w:rPr>
              <w:t xml:space="preserve">10</w:t>
            </w:r>
          </w:p>
        </w:tc>
        <w:tc>
          <w:p>
            <w:r>
              <w:rPr>
                <w:rFonts w:ascii="Arial" w:cs="Arial" w:eastAsia="Arial" w:hAnsi="Arial"/>
                <w:b w:val="false"/>
                <w:bCs w:val="false"/>
                <w:sz w:val="18"/>
                <w:szCs w:val="18"/>
              </w:rPr>
              <w:t xml:space="preserve">Confirmation source weighting</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Stronger write-back signal from corrections</w:t>
            </w:r>
          </w:p>
        </w:tc>
      </w:tr>
      <w:tr>
        <w:tc>
          <w:p>
            <w:r>
              <w:rPr>
                <w:rFonts w:ascii="Arial" w:cs="Arial" w:eastAsia="Arial" w:hAnsi="Arial"/>
                <w:b w:val="false"/>
                <w:bCs w:val="false"/>
                <w:sz w:val="18"/>
                <w:szCs w:val="18"/>
              </w:rPr>
              <w:t xml:space="preserve">11</w:t>
            </w:r>
          </w:p>
        </w:tc>
        <w:tc>
          <w:p>
            <w:r>
              <w:rPr>
                <w:rFonts w:ascii="Arial" w:cs="Arial" w:eastAsia="Arial" w:hAnsi="Arial"/>
                <w:b w:val="false"/>
                <w:bCs w:val="false"/>
                <w:sz w:val="18"/>
                <w:szCs w:val="18"/>
              </w:rPr>
              <w:t xml:space="preserve">Embedding fine-tuning</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Domain-specific retrieval improvement</w:t>
            </w:r>
          </w:p>
        </w:tc>
      </w:tr>
      <w:tr>
        <w:tc>
          <w:p>
            <w:r>
              <w:rPr>
                <w:rFonts w:ascii="Arial" w:cs="Arial" w:eastAsia="Arial" w:hAnsi="Arial"/>
                <w:b w:val="false"/>
                <w:bCs w:val="false"/>
                <w:sz w:val="18"/>
                <w:szCs w:val="18"/>
              </w:rPr>
              <w:t xml:space="preserve">12</w:t>
            </w:r>
          </w:p>
        </w:tc>
        <w:tc>
          <w:p>
            <w:r>
              <w:rPr>
                <w:rFonts w:ascii="Arial" w:cs="Arial" w:eastAsia="Arial" w:hAnsi="Arial"/>
                <w:b w:val="false"/>
                <w:bCs w:val="false"/>
                <w:sz w:val="18"/>
                <w:szCs w:val="18"/>
              </w:rPr>
              <w:t xml:space="preserve">GraphRAG for supplier relationships</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Complex supplier structures</w:t>
            </w:r>
          </w:p>
        </w:tc>
      </w:tr>
      <w:tr>
        <w:tc>
          <w:p>
            <w:r>
              <w:rPr>
                <w:rFonts w:ascii="Arial" w:cs="Arial" w:eastAsia="Arial" w:hAnsi="Arial"/>
                <w:b w:val="false"/>
                <w:bCs w:val="false"/>
                <w:sz w:val="18"/>
                <w:szCs w:val="18"/>
              </w:rPr>
              <w:t xml:space="preserve">13</w:t>
            </w:r>
          </w:p>
        </w:tc>
        <w:tc>
          <w:p>
            <w:r>
              <w:rPr>
                <w:rFonts w:ascii="Arial" w:cs="Arial" w:eastAsia="Arial" w:hAnsi="Arial"/>
                <w:b w:val="false"/>
                <w:bCs w:val="false"/>
                <w:sz w:val="18"/>
                <w:szCs w:val="18"/>
              </w:rPr>
              <w:t xml:space="preserve">Description preprocessing</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Cleaner embeddings</w:t>
            </w:r>
          </w:p>
        </w:tc>
      </w:tr>
      <w:tr>
        <w:tc>
          <w:p>
            <w:r>
              <w:rPr>
                <w:rFonts w:ascii="Arial" w:cs="Arial" w:eastAsia="Arial" w:hAnsi="Arial"/>
                <w:b w:val="false"/>
                <w:bCs w:val="false"/>
                <w:sz w:val="18"/>
                <w:szCs w:val="18"/>
              </w:rPr>
              <w:t xml:space="preserve">14</w:t>
            </w:r>
          </w:p>
        </w:tc>
        <w:tc>
          <w:p>
            <w:r>
              <w:rPr>
                <w:rFonts w:ascii="Arial" w:cs="Arial" w:eastAsia="Arial" w:hAnsi="Arial"/>
                <w:b w:val="false"/>
                <w:bCs w:val="false"/>
                <w:sz w:val="18"/>
                <w:szCs w:val="18"/>
              </w:rPr>
              <w:t xml:space="preserve">Per-vendor adaptive thresholds</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More precise routing</w:t>
            </w:r>
          </w:p>
        </w:tc>
      </w:tr>
      <w:tr>
        <w:tc>
          <w:p>
            <w:r>
              <w:rPr>
                <w:rFonts w:ascii="Arial" w:cs="Arial" w:eastAsia="Arial" w:hAnsi="Arial"/>
                <w:b w:val="false"/>
                <w:bCs w:val="false"/>
                <w:sz w:val="18"/>
                <w:szCs w:val="18"/>
              </w:rPr>
              <w:t xml:space="preserve">15</w:t>
            </w:r>
          </w:p>
        </w:tc>
        <w:tc>
          <w:p>
            <w:r>
              <w:rPr>
                <w:rFonts w:ascii="Arial" w:cs="Arial" w:eastAsia="Arial" w:hAnsi="Arial"/>
                <w:b w:val="false"/>
                <w:bCs w:val="false"/>
                <w:sz w:val="18"/>
                <w:szCs w:val="18"/>
              </w:rPr>
              <w:t xml:space="preserve">Adaptive BM25/dense weighting</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Marginal gain -- do after re-ranking</w:t>
            </w:r>
          </w:p>
        </w:tc>
      </w:tr>
      <w:tr>
        <w:tc>
          <w:p>
            <w:r>
              <w:rPr>
                <w:rFonts w:ascii="Arial" w:cs="Arial" w:eastAsia="Arial" w:hAnsi="Arial"/>
                <w:b w:val="false"/>
                <w:bCs w:val="false"/>
                <w:sz w:val="18"/>
                <w:szCs w:val="18"/>
              </w:rPr>
              <w:t xml:space="preserve">16</w:t>
            </w:r>
          </w:p>
        </w:tc>
        <w:tc>
          <w:p>
            <w:r>
              <w:rPr>
                <w:rFonts w:ascii="Arial" w:cs="Arial" w:eastAsia="Arial" w:hAnsi="Arial"/>
                <w:b w:val="false"/>
                <w:bCs w:val="false"/>
                <w:sz w:val="18"/>
                <w:szCs w:val="18"/>
              </w:rPr>
              <w:t xml:space="preserve">Hybrid reranking with learned weights</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Requires 500+ confirmed outcomes first</w:t>
            </w:r>
          </w:p>
        </w:tc>
      </w:tr>
      <w:tr>
        <w:tc>
          <w:p>
            <w:r>
              <w:rPr>
                <w:rFonts w:ascii="Arial" w:cs="Arial" w:eastAsia="Arial" w:hAnsi="Arial"/>
                <w:b w:val="false"/>
                <w:bCs w:val="false"/>
                <w:sz w:val="18"/>
                <w:szCs w:val="18"/>
              </w:rPr>
              <w:t xml:space="preserve">17</w:t>
            </w:r>
          </w:p>
        </w:tc>
        <w:tc>
          <w:p>
            <w:r>
              <w:rPr>
                <w:rFonts w:ascii="Arial" w:cs="Arial" w:eastAsia="Arial" w:hAnsi="Arial"/>
                <w:b w:val="false"/>
                <w:bCs w:val="false"/>
                <w:sz w:val="18"/>
                <w:szCs w:val="18"/>
              </w:rPr>
              <w:t xml:space="preserve">Learned confidence weighting</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Requires 1,000+ confirmed outcomes first</w:t>
            </w:r>
          </w:p>
        </w:tc>
      </w:tr>
      <w:tr>
        <w:tc>
          <w:p>
            <w:r>
              <w:rPr>
                <w:rFonts w:ascii="Arial" w:cs="Arial" w:eastAsia="Arial" w:hAnsi="Arial"/>
                <w:b w:val="false"/>
                <w:bCs w:val="false"/>
                <w:sz w:val="18"/>
                <w:szCs w:val="18"/>
              </w:rPr>
              <w:t xml:space="preserve">18</w:t>
            </w:r>
          </w:p>
        </w:tc>
        <w:tc>
          <w:p>
            <w:r>
              <w:rPr>
                <w:rFonts w:ascii="Arial" w:cs="Arial" w:eastAsia="Arial" w:hAnsi="Arial"/>
                <w:b w:val="false"/>
                <w:bCs w:val="false"/>
                <w:sz w:val="18"/>
                <w:szCs w:val="18"/>
              </w:rPr>
              <w:t xml:space="preserve">Periodic re-embedding</w:t>
            </w:r>
          </w:p>
        </w:tc>
        <w:tc>
          <w:p>
            <w:r>
              <w:rPr>
                <w:rFonts w:ascii="Arial" w:cs="Arial" w:eastAsia="Arial" w:hAnsi="Arial"/>
                <w:b w:val="false"/>
                <w:bCs w:val="false"/>
                <w:sz w:val="18"/>
                <w:szCs w:val="18"/>
              </w:rPr>
              <w:t xml:space="preserve">RAG Core</w:t>
            </w:r>
          </w:p>
        </w:tc>
        <w:tc>
          <w:p>
            <w:r>
              <w:rPr>
                <w:rFonts w:ascii="Arial" w:cs="Arial" w:eastAsia="Arial" w:hAnsi="Arial"/>
                <w:b w:val="false"/>
                <w:bCs w:val="false"/>
                <w:sz w:val="18"/>
                <w:szCs w:val="18"/>
              </w:rPr>
              <w:t xml:space="preserve">Only needed on OpenAI model update</w:t>
            </w:r>
          </w:p>
        </w:tc>
      </w:tr>
    </w:tbl>
    <w:p/>
    <w:p>
      <w:pPr>
        <w:pStyle w:val="Heading1"/>
      </w:pPr>
      <w:r>
        <w:t xml:space="preserve">4. What Not to Change</w:t>
      </w:r>
    </w:p>
    <w:p>
      <w:r>
        <w:rPr>
          <w:rFonts w:ascii="Arial" w:cs="Arial" w:eastAsia="Arial" w:hAnsi="Arial"/>
          <w:sz w:val="20"/>
          <w:szCs w:val="20"/>
        </w:rPr>
        <w:t xml:space="preserve">Once RAGAS is maxed, these elements should be frozen:</w:t>
      </w:r>
    </w:p>
    <w:p/>
    <w:p>
      <w:pPr>
        <w:pStyle w:val="ListParagraph"/>
        <w:numPr>
          <w:ilvl w:val="0"/>
          <w:numId w:val="2"/>
        </w:numPr>
        <w:spacing w:after="60"/>
      </w:pPr>
      <w:r>
        <w:t xml:space="preserve">Hybrid dense + BM25 + RRF retrieval architecture -- proven, fast, well-understood</w:t>
      </w:r>
    </w:p>
    <w:p>
      <w:pPr>
        <w:pStyle w:val="ListParagraph"/>
        <w:numPr>
          <w:ilvl w:val="0"/>
          <w:numId w:val="2"/>
        </w:numPr>
        <w:spacing w:after="60"/>
      </w:pPr>
      <w:r>
        <w:t xml:space="preserve">Qdrant Cloud -- sub-millisecond retrieval, scales well, supports multi-vector natively</w:t>
      </w:r>
    </w:p>
    <w:p>
      <w:pPr>
        <w:pStyle w:val="ListParagraph"/>
        <w:numPr>
          <w:ilvl w:val="0"/>
          <w:numId w:val="2"/>
        </w:numPr>
        <w:spacing w:after="60"/>
      </w:pPr>
      <w:r>
        <w:t xml:space="preserve">Confidence formula structure -- 0.7/0.3 may be tuned but the additive formula is correct</w:t>
      </w:r>
    </w:p>
    <w:p>
      <w:pPr>
        <w:pStyle w:val="ListParagraph"/>
        <w:numPr>
          <w:ilvl w:val="0"/>
          <w:numId w:val="2"/>
        </w:numPr>
        <w:spacing w:after="60"/>
      </w:pPr>
      <w:r>
        <w:t xml:space="preserve">Write-back loop mechanism -- the core self-learning principle is sound</w:t>
      </w:r>
    </w:p>
    <w:p>
      <w:pPr>
        <w:pStyle w:val="ListParagraph"/>
        <w:numPr>
          <w:ilvl w:val="0"/>
          <w:numId w:val="2"/>
        </w:numPr>
        <w:spacing w:after="60"/>
      </w:pPr>
      <w:r>
        <w:t xml:space="preserve">Minimum evidence lines gate (3) -- prevents low-evidence auto-posts</w:t>
      </w:r>
    </w:p>
    <w:p/>
    <w:p>
      <w:r>
        <w:rPr>
          <w:rFonts w:ascii="Arial" w:cs="Arial" w:eastAsia="Arial" w:hAnsi="Arial"/>
          <w:i/>
          <w:iCs/>
          <w:color w:val="6B7280"/>
          <w:sz w:val="18"/>
          <w:szCs w:val="18"/>
        </w:rPr>
        <w:t xml:space="preserve">The write-back loop improves the corpus passively. Do not introduce active retraining or fine-tuning on the routing decision itself -- the system learns from confirmed human outputs, not its own predictions.</w:t>
      </w:r>
    </w:p>
    <w:p/>
    <w:p>
      <w:r>
        <w:rPr>
          <w:rFonts w:ascii="Arial" w:cs="Arial" w:eastAsia="Arial" w:hAnsi="Arial"/>
          <w:color w:val="6B7280"/>
          <w:sz w:val="18"/>
          <w:szCs w:val="18"/>
        </w:rPr>
        <w:t xml:space="preserve">Contact: miles.waite@akkoda.com | github.com/Milesy1/ap-automation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2026-10-15T19:51:12.365Z</dcterms:created>
  <dcterms:modified xsi:type="dcterms:W3CDTF">2026-10-15T19:51:12.365Z</dcterms:modified>
</cp:coreProperties>
</file>

<file path=docProps/custom.xml><?xml version="1.0" encoding="utf-8"?>
<Properties xmlns="http://schemas.openxmlformats.org/officeDocument/2006/custom-properties" xmlns:vt="http://schemas.openxmlformats.org/officeDocument/2006/docPropsVTypes"/>
</file>