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D6A9" w14:textId="77777777" w:rsidR="00DE7FA5" w:rsidRDefault="00000000">
      <w:pPr>
        <w:pStyle w:val="Title"/>
      </w:pPr>
      <w:r>
        <w:rPr>
          <w:rFonts w:ascii="Calibri" w:hAnsi="Calibri"/>
          <w:b/>
          <w:color w:val="1F4E78"/>
          <w:sz w:val="40"/>
        </w:rPr>
        <w:t>Agentic Tool-Calling Architecture</w:t>
      </w:r>
    </w:p>
    <w:p w14:paraId="7F1DD520" w14:textId="77777777" w:rsidR="00DE7FA5" w:rsidRDefault="00000000">
      <w:pPr>
        <w:spacing w:after="120"/>
      </w:pPr>
      <w:r>
        <w:rPr>
          <w:i/>
          <w:sz w:val="18"/>
        </w:rPr>
        <w:t>Technical Supplement | Springtime Technologies | September 2026</w:t>
      </w:r>
    </w:p>
    <w:p w14:paraId="3686349F" w14:textId="77777777" w:rsidR="00DE7FA5" w:rsidRDefault="00DE7FA5"/>
    <w:p w14:paraId="559D8550" w14:textId="77777777" w:rsidR="00DE7FA5" w:rsidRDefault="00000000">
      <w:pPr>
        <w:spacing w:after="120"/>
      </w:pPr>
      <w:r>
        <w:rPr>
          <w:i/>
        </w:rPr>
        <w:t>This document addresses the specific concern that RAG alone is insufficient for production AI systems. It defines an agentic orchestration layer in which an LLM reasons over structured tools, selects actions, and operates under human governance. RAG is treated as one tool within a broader tool catalogue, not as the architecture itself.</w:t>
      </w:r>
    </w:p>
    <w:p w14:paraId="171027D4" w14:textId="77777777" w:rsidR="00DE7FA5" w:rsidRDefault="00DE7FA5"/>
    <w:p w14:paraId="61D4BAB8" w14:textId="77777777" w:rsidR="00DE7FA5" w:rsidRDefault="00000000">
      <w:pPr>
        <w:pStyle w:val="Heading1"/>
        <w:spacing w:after="240"/>
      </w:pPr>
      <w:r>
        <w:rPr>
          <w:rFonts w:ascii="Calibri" w:hAnsi="Calibri"/>
          <w:color w:val="1F4E78"/>
          <w:sz w:val="32"/>
        </w:rPr>
        <w:t>1. The Agentic Tool-Calling Pattern</w:t>
      </w:r>
    </w:p>
    <w:p w14:paraId="390C025B" w14:textId="77777777" w:rsidR="00DE7FA5" w:rsidRDefault="00000000">
      <w:pPr>
        <w:spacing w:after="120"/>
      </w:pPr>
      <w:r>
        <w:rPr>
          <w:b/>
        </w:rPr>
        <w:t>A production agentic system does not retrieve documents and summarise them. It reasons over a structured tool schema, selects the appropriate tool, constructs parameters, and executes operations against live systems — but only after mandatory human confirmation for destructive actions.</w:t>
      </w:r>
    </w:p>
    <w:p w14:paraId="1CC32AE9" w14:textId="77777777" w:rsidR="00DE7FA5" w:rsidRDefault="00000000">
      <w:pPr>
        <w:pStyle w:val="Heading2"/>
        <w:spacing w:after="160"/>
      </w:pPr>
      <w:r>
        <w:rPr>
          <w:rFonts w:ascii="Calibri" w:hAnsi="Calibri"/>
        </w:rPr>
        <w:t>1.1 The Tool Schema</w:t>
      </w:r>
    </w:p>
    <w:p w14:paraId="0651FBEC" w14:textId="77777777" w:rsidR="00DE7FA5" w:rsidRDefault="00000000">
      <w:pPr>
        <w:spacing w:after="120"/>
      </w:pPr>
      <w:r>
        <w:t>Every capability of the system is exposed as a tool with a strict schema:</w:t>
      </w:r>
    </w:p>
    <w:p w14:paraId="123A46F5" w14:textId="77777777" w:rsidR="00DE7FA5" w:rsidRDefault="00000000">
      <w:pPr>
        <w:pStyle w:val="ListBullet"/>
        <w:spacing w:after="80"/>
      </w:pPr>
      <w:r>
        <w:t>Tool name: unique identifier (e.g., retrieve_historic_coding, evaluate_agreement, post_to_erp)</w:t>
      </w:r>
    </w:p>
    <w:p w14:paraId="60C0DDA6" w14:textId="77777777" w:rsidR="00DE7FA5" w:rsidRDefault="00000000">
      <w:pPr>
        <w:pStyle w:val="ListBullet"/>
        <w:spacing w:after="80"/>
      </w:pPr>
      <w:r>
        <w:t>Description: what the tool does, when to use it, and what business rules govern it</w:t>
      </w:r>
    </w:p>
    <w:p w14:paraId="62040F6E" w14:textId="77777777" w:rsidR="00DE7FA5" w:rsidRDefault="00000000">
      <w:pPr>
        <w:pStyle w:val="ListBullet"/>
        <w:spacing w:after="80"/>
      </w:pPr>
      <w:r>
        <w:t>Parameters: typed fields with validation rules, enums, and dependency constraints</w:t>
      </w:r>
    </w:p>
    <w:p w14:paraId="50D0DEE7" w14:textId="77777777" w:rsidR="00DE7FA5" w:rsidRDefault="00000000">
      <w:pPr>
        <w:pStyle w:val="ListBullet"/>
        <w:spacing w:after="80"/>
      </w:pPr>
      <w:r>
        <w:t>Return type: structured output defining success, failure, or partial completion</w:t>
      </w:r>
    </w:p>
    <w:p w14:paraId="78042BFE" w14:textId="77777777" w:rsidR="00DE7FA5" w:rsidRDefault="00000000">
      <w:pPr>
        <w:pStyle w:val="ListBullet"/>
        <w:spacing w:after="80"/>
      </w:pPr>
      <w:r>
        <w:t>Side effects: explicit declaration of whether the tool reads or writes to downstream systems</w:t>
      </w:r>
    </w:p>
    <w:p w14:paraId="53189493" w14:textId="77777777" w:rsidR="00DE7FA5" w:rsidRDefault="00000000">
      <w:pPr>
        <w:spacing w:after="120"/>
      </w:pPr>
      <w:r>
        <w:t>The LLM does not see raw database tables or API endpoints. It sees a curated, business-meaningful tool catalogue. The agent operates at the level of business intent, not technical implementation.</w:t>
      </w:r>
    </w:p>
    <w:p w14:paraId="7108BB6B" w14:textId="77777777" w:rsidR="00DE7FA5" w:rsidRDefault="00000000">
      <w:pPr>
        <w:pStyle w:val="Heading2"/>
        <w:spacing w:after="160"/>
      </w:pPr>
      <w:r>
        <w:rPr>
          <w:rFonts w:ascii="Calibri" w:hAnsi="Calibri"/>
        </w:rPr>
        <w:t>1.2 The Agent Loop</w:t>
      </w:r>
    </w:p>
    <w:p w14:paraId="770AE6E9" w14:textId="77777777" w:rsidR="00DE7FA5" w:rsidRDefault="00000000">
      <w:pPr>
        <w:spacing w:after="120"/>
      </w:pPr>
      <w:r>
        <w:t>For every incoming invoice, the agent executes the following loop:</w:t>
      </w:r>
    </w:p>
    <w:p w14:paraId="78498056" w14:textId="77777777" w:rsidR="00DE7FA5" w:rsidRDefault="00000000">
      <w:pPr>
        <w:pStyle w:val="ListBullet"/>
        <w:spacing w:after="80"/>
      </w:pPr>
      <w:r>
        <w:t>1. Understand: parse the invoice data into a structured processing goal</w:t>
      </w:r>
    </w:p>
    <w:p w14:paraId="36CD61A6" w14:textId="77777777" w:rsidR="00DE7FA5" w:rsidRDefault="00000000">
      <w:pPr>
        <w:pStyle w:val="ListBullet"/>
        <w:spacing w:after="80"/>
      </w:pPr>
      <w:r>
        <w:t>2. Plan: break the goal into sub-tasks, each mappable to one or more tools</w:t>
      </w:r>
    </w:p>
    <w:p w14:paraId="0027E145" w14:textId="77777777" w:rsidR="00DE7FA5" w:rsidRDefault="00000000">
      <w:pPr>
        <w:pStyle w:val="ListBullet"/>
        <w:spacing w:after="80"/>
      </w:pPr>
      <w:r>
        <w:t>3. Select: for each sub-task, choose the most appropriate tool from the available catalogue</w:t>
      </w:r>
    </w:p>
    <w:p w14:paraId="14F9BDE1" w14:textId="77777777" w:rsidR="00DE7FA5" w:rsidRDefault="00000000">
      <w:pPr>
        <w:pStyle w:val="ListBullet"/>
        <w:spacing w:after="80"/>
      </w:pPr>
      <w:r>
        <w:t>4. Construct: generate the exact parameters required by the tool schema</w:t>
      </w:r>
    </w:p>
    <w:p w14:paraId="4BF621DA" w14:textId="77777777" w:rsidR="00DE7FA5" w:rsidRDefault="00000000">
      <w:pPr>
        <w:pStyle w:val="ListBullet"/>
        <w:spacing w:after="80"/>
      </w:pPr>
      <w:r>
        <w:t>5. Validate: run integrity checks (e.g., duplicate detection, entity isolation) before any write</w:t>
      </w:r>
    </w:p>
    <w:p w14:paraId="3C7D8A7C" w14:textId="77777777" w:rsidR="00DE7FA5" w:rsidRDefault="00000000">
      <w:pPr>
        <w:pStyle w:val="ListBullet"/>
        <w:spacing w:after="80"/>
      </w:pPr>
      <w:r>
        <w:t>6. Confirm: present the planned action to a human for mandatory approval where required</w:t>
      </w:r>
    </w:p>
    <w:p w14:paraId="37367E61" w14:textId="77777777" w:rsidR="00DE7FA5" w:rsidRDefault="00000000">
      <w:pPr>
        <w:pStyle w:val="ListBullet"/>
        <w:spacing w:after="80"/>
      </w:pPr>
      <w:r>
        <w:t>7. Execute: only after human confirmation, invoke the tool against the downstream system</w:t>
      </w:r>
    </w:p>
    <w:p w14:paraId="409B2615" w14:textId="77777777" w:rsidR="00DE7FA5" w:rsidRDefault="00000000">
      <w:pPr>
        <w:pStyle w:val="ListBullet"/>
        <w:spacing w:after="80"/>
      </w:pPr>
      <w:r>
        <w:t>8. Observe: capture the result, update state, and decide if further action is needed</w:t>
      </w:r>
    </w:p>
    <w:p w14:paraId="1B10BB1D" w14:textId="77777777" w:rsidR="00DE7FA5" w:rsidRDefault="00000000">
      <w:pPr>
        <w:spacing w:after="120"/>
      </w:pPr>
      <w:r>
        <w:t>This is not RAG. RAG retrieves information. An agentic tool-caller selects actions, constructs payloads, and modifies live systems under governance.</w:t>
      </w:r>
    </w:p>
    <w:p w14:paraId="6BE705F3" w14:textId="77777777" w:rsidR="00DE7FA5" w:rsidRDefault="00000000">
      <w:pPr>
        <w:pStyle w:val="Heading2"/>
        <w:spacing w:after="160"/>
      </w:pPr>
      <w:r>
        <w:rPr>
          <w:rFonts w:ascii="Calibri" w:hAnsi="Calibri"/>
        </w:rPr>
        <w:lastRenderedPageBreak/>
        <w:t>1.3 Human-in-the-Loop Governance</w:t>
      </w:r>
    </w:p>
    <w:p w14:paraId="18DC20E2" w14:textId="77777777" w:rsidR="00DE7FA5" w:rsidRDefault="00000000">
      <w:pPr>
        <w:spacing w:after="120"/>
      </w:pPr>
      <w:r>
        <w:t>The governance model is enforced at the architecture level, not as an optional layer:</w:t>
      </w:r>
    </w:p>
    <w:p w14:paraId="4FE63D44" w14:textId="77777777" w:rsidR="00DE7FA5" w:rsidRDefault="00000000">
      <w:pPr>
        <w:pStyle w:val="ListBullet"/>
        <w:spacing w:after="80"/>
      </w:pPr>
      <w:r>
        <w:t>Every write operation requires explicit human confirmation</w:t>
      </w:r>
    </w:p>
    <w:p w14:paraId="4EC93843" w14:textId="28829B4E" w:rsidR="00DE7FA5" w:rsidRDefault="00000000">
      <w:pPr>
        <w:pStyle w:val="ListBullet"/>
        <w:spacing w:after="80"/>
      </w:pPr>
      <w:r>
        <w:t xml:space="preserve">Read-only tools </w:t>
      </w:r>
      <w:proofErr w:type="gramStart"/>
      <w:r>
        <w:t>execute</w:t>
      </w:r>
      <w:proofErr w:type="gramEnd"/>
      <w:r>
        <w:t xml:space="preserve"> automatically</w:t>
      </w:r>
    </w:p>
    <w:p w14:paraId="18804506" w14:textId="77777777" w:rsidR="00DE7FA5" w:rsidRDefault="00000000">
      <w:pPr>
        <w:pStyle w:val="ListBullet"/>
        <w:spacing w:after="80"/>
      </w:pPr>
      <w:r>
        <w:t>No tool with side effects can execute without a confirmed approval token</w:t>
      </w:r>
    </w:p>
    <w:p w14:paraId="0BE4B320" w14:textId="77777777" w:rsidR="00DE7FA5" w:rsidRDefault="00000000">
      <w:pPr>
        <w:pStyle w:val="ListBullet"/>
        <w:spacing w:after="80"/>
      </w:pPr>
      <w:r>
        <w:t>Approval history is immutable and auditable via distributed tracing</w:t>
      </w:r>
    </w:p>
    <w:p w14:paraId="5FB89216" w14:textId="77777777" w:rsidR="00DE7FA5" w:rsidRDefault="00000000">
      <w:pPr>
        <w:spacing w:after="120"/>
      </w:pPr>
      <w:r>
        <w:t>The result is a system that automates routine operations but never acts autonomously on destructive actions. The human is not bypassed; they are accelerated.</w:t>
      </w:r>
    </w:p>
    <w:p w14:paraId="46C9506D" w14:textId="77777777" w:rsidR="00DE7FA5" w:rsidRDefault="00000000">
      <w:pPr>
        <w:pStyle w:val="Heading2"/>
        <w:spacing w:after="160"/>
      </w:pPr>
      <w:r>
        <w:rPr>
          <w:rFonts w:ascii="Calibri" w:hAnsi="Calibri"/>
        </w:rPr>
        <w:t>1.4 Traceability Across the Agent Stack</w:t>
      </w:r>
    </w:p>
    <w:p w14:paraId="341F37CC" w14:textId="77777777" w:rsidR="00DE7FA5" w:rsidRDefault="00000000">
      <w:pPr>
        <w:spacing w:after="120"/>
      </w:pPr>
      <w:r>
        <w:t>Every agent loop produces a distributed trace:</w:t>
      </w:r>
    </w:p>
    <w:p w14:paraId="2CAC4A8D" w14:textId="77777777" w:rsidR="00DE7FA5" w:rsidRDefault="00000000">
      <w:pPr>
        <w:pStyle w:val="ListBullet"/>
        <w:spacing w:after="80"/>
      </w:pPr>
      <w:r>
        <w:t>Ingestion span: the structured invoice data and parsed processing goal</w:t>
      </w:r>
    </w:p>
    <w:p w14:paraId="68B4DAF6" w14:textId="77777777" w:rsidR="00DE7FA5" w:rsidRDefault="00000000">
      <w:pPr>
        <w:pStyle w:val="ListBullet"/>
        <w:spacing w:after="80"/>
      </w:pPr>
      <w:r>
        <w:t>Planning span: the sub-task decomposition and tool selection rationale</w:t>
      </w:r>
    </w:p>
    <w:p w14:paraId="7D41041A" w14:textId="77777777" w:rsidR="00DE7FA5" w:rsidRDefault="00000000">
      <w:pPr>
        <w:pStyle w:val="ListBullet"/>
        <w:spacing w:after="80"/>
      </w:pPr>
      <w:r>
        <w:t>Tool execution span: the constructed parameters, the validation result, the human approval record</w:t>
      </w:r>
    </w:p>
    <w:p w14:paraId="4247597F" w14:textId="77777777" w:rsidR="00DE7FA5" w:rsidRDefault="00000000">
      <w:pPr>
        <w:pStyle w:val="ListBullet"/>
        <w:spacing w:after="80"/>
      </w:pPr>
      <w:r>
        <w:t>Downstream span: the actual system call, response time, and return payload</w:t>
      </w:r>
    </w:p>
    <w:p w14:paraId="4641474F" w14:textId="77777777" w:rsidR="00DE7FA5" w:rsidRDefault="00000000">
      <w:pPr>
        <w:spacing w:after="120"/>
      </w:pPr>
      <w:r>
        <w:t>This multi-tier tracing enables end-to-end defect diagnosis. A parameter drift, a retrieval failure, or a validation error can be isolated to its exact span within seconds, linked by a single trace ID.</w:t>
      </w:r>
    </w:p>
    <w:p w14:paraId="51598A4C" w14:textId="77777777" w:rsidR="00DE7FA5" w:rsidRDefault="00DE7FA5"/>
    <w:p w14:paraId="731B7553" w14:textId="77777777" w:rsidR="00DE7FA5" w:rsidRDefault="00000000">
      <w:pPr>
        <w:pStyle w:val="Heading1"/>
        <w:spacing w:after="240"/>
      </w:pPr>
      <w:r>
        <w:rPr>
          <w:rFonts w:ascii="Calibri" w:hAnsi="Calibri"/>
          <w:color w:val="1F4E78"/>
          <w:sz w:val="32"/>
        </w:rPr>
        <w:t>2. The Distinction: RAG vs. Agentic Tool-Calling</w:t>
      </w:r>
    </w:p>
    <w:p w14:paraId="7F70EAAF" w14:textId="77777777" w:rsidR="00DE7FA5" w:rsidRDefault="00000000">
      <w:pPr>
        <w:spacing w:after="120"/>
      </w:pPr>
      <w:r>
        <w:rPr>
          <w:b/>
        </w:rPr>
        <w:t>RAG is a component of an agentic system, not the system itself. The following table clarifies the architectural distinction.</w:t>
      </w:r>
    </w:p>
    <w:tbl>
      <w:tblPr>
        <w:tblStyle w:val="TableGrid"/>
        <w:tblW w:w="0" w:type="auto"/>
        <w:tblLook w:val="04A0" w:firstRow="1" w:lastRow="0" w:firstColumn="1" w:lastColumn="0" w:noHBand="0" w:noVBand="1"/>
      </w:tblPr>
      <w:tblGrid>
        <w:gridCol w:w="2880"/>
        <w:gridCol w:w="2880"/>
        <w:gridCol w:w="2880"/>
      </w:tblGrid>
      <w:tr w:rsidR="00DE7FA5" w14:paraId="24792173" w14:textId="77777777">
        <w:tc>
          <w:tcPr>
            <w:tcW w:w="2880" w:type="dxa"/>
            <w:shd w:val="clear" w:color="auto" w:fill="1F4E78"/>
          </w:tcPr>
          <w:p w14:paraId="29E82D64" w14:textId="77777777" w:rsidR="00DE7FA5" w:rsidRDefault="00000000">
            <w:r>
              <w:rPr>
                <w:b/>
                <w:color w:val="FFFFFF"/>
              </w:rPr>
              <w:t>Capability</w:t>
            </w:r>
          </w:p>
        </w:tc>
        <w:tc>
          <w:tcPr>
            <w:tcW w:w="2880" w:type="dxa"/>
            <w:shd w:val="clear" w:color="auto" w:fill="1F4E78"/>
          </w:tcPr>
          <w:p w14:paraId="4B222BDF" w14:textId="77777777" w:rsidR="00DE7FA5" w:rsidRDefault="00000000">
            <w:r>
              <w:rPr>
                <w:b/>
                <w:color w:val="FFFFFF"/>
              </w:rPr>
              <w:t>RAG (Retrieval)</w:t>
            </w:r>
          </w:p>
        </w:tc>
        <w:tc>
          <w:tcPr>
            <w:tcW w:w="2880" w:type="dxa"/>
            <w:shd w:val="clear" w:color="auto" w:fill="1F4E78"/>
          </w:tcPr>
          <w:p w14:paraId="78F9DBFB" w14:textId="77777777" w:rsidR="00DE7FA5" w:rsidRDefault="00000000">
            <w:r>
              <w:rPr>
                <w:b/>
                <w:color w:val="FFFFFF"/>
              </w:rPr>
              <w:t>Agentic Tool-Calling</w:t>
            </w:r>
          </w:p>
        </w:tc>
      </w:tr>
      <w:tr w:rsidR="00DE7FA5" w14:paraId="698EDCD9" w14:textId="77777777">
        <w:tc>
          <w:tcPr>
            <w:tcW w:w="2880" w:type="dxa"/>
          </w:tcPr>
          <w:p w14:paraId="5604F698" w14:textId="77777777" w:rsidR="00DE7FA5" w:rsidRDefault="00000000">
            <w:r>
              <w:rPr>
                <w:sz w:val="18"/>
              </w:rPr>
              <w:t>Core function</w:t>
            </w:r>
          </w:p>
        </w:tc>
        <w:tc>
          <w:tcPr>
            <w:tcW w:w="2880" w:type="dxa"/>
          </w:tcPr>
          <w:p w14:paraId="1774F971" w14:textId="77777777" w:rsidR="00DE7FA5" w:rsidRDefault="00000000">
            <w:r>
              <w:rPr>
                <w:sz w:val="18"/>
              </w:rPr>
              <w:t>Retrieves similar documents from a corpus</w:t>
            </w:r>
          </w:p>
        </w:tc>
        <w:tc>
          <w:tcPr>
            <w:tcW w:w="2880" w:type="dxa"/>
          </w:tcPr>
          <w:p w14:paraId="7D921DD1" w14:textId="77777777" w:rsidR="00DE7FA5" w:rsidRDefault="00000000">
            <w:r>
              <w:rPr>
                <w:sz w:val="18"/>
              </w:rPr>
              <w:t>Selects and executes structured actions from a tool catalogue</w:t>
            </w:r>
          </w:p>
        </w:tc>
      </w:tr>
      <w:tr w:rsidR="00DE7FA5" w14:paraId="73CB7587" w14:textId="77777777">
        <w:tc>
          <w:tcPr>
            <w:tcW w:w="2880" w:type="dxa"/>
            <w:shd w:val="clear" w:color="auto" w:fill="F2F2F2"/>
          </w:tcPr>
          <w:p w14:paraId="28BB6FD6" w14:textId="77777777" w:rsidR="00DE7FA5" w:rsidRDefault="00000000">
            <w:r>
              <w:rPr>
                <w:sz w:val="18"/>
              </w:rPr>
              <w:t>Output</w:t>
            </w:r>
          </w:p>
        </w:tc>
        <w:tc>
          <w:tcPr>
            <w:tcW w:w="2880" w:type="dxa"/>
            <w:shd w:val="clear" w:color="auto" w:fill="F2F2F2"/>
          </w:tcPr>
          <w:p w14:paraId="39BE3A03" w14:textId="77777777" w:rsidR="00DE7FA5" w:rsidRDefault="00000000">
            <w:r>
              <w:rPr>
                <w:sz w:val="18"/>
              </w:rPr>
              <w:t>Text: retrieved chunks, summaries, or answers</w:t>
            </w:r>
          </w:p>
        </w:tc>
        <w:tc>
          <w:tcPr>
            <w:tcW w:w="2880" w:type="dxa"/>
            <w:shd w:val="clear" w:color="auto" w:fill="F2F2F2"/>
          </w:tcPr>
          <w:p w14:paraId="51C453B0" w14:textId="77777777" w:rsidR="00DE7FA5" w:rsidRDefault="00000000">
            <w:r>
              <w:rPr>
                <w:sz w:val="18"/>
              </w:rPr>
              <w:t>Structured data: tool parameters, API payloads, routing decisions</w:t>
            </w:r>
          </w:p>
        </w:tc>
      </w:tr>
      <w:tr w:rsidR="00DE7FA5" w14:paraId="3BFDD544" w14:textId="77777777">
        <w:tc>
          <w:tcPr>
            <w:tcW w:w="2880" w:type="dxa"/>
          </w:tcPr>
          <w:p w14:paraId="5F68C024" w14:textId="77777777" w:rsidR="00DE7FA5" w:rsidRDefault="00000000">
            <w:r>
              <w:rPr>
                <w:sz w:val="18"/>
              </w:rPr>
              <w:t>State change</w:t>
            </w:r>
          </w:p>
        </w:tc>
        <w:tc>
          <w:tcPr>
            <w:tcW w:w="2880" w:type="dxa"/>
          </w:tcPr>
          <w:p w14:paraId="50A007E8" w14:textId="77777777" w:rsidR="00DE7FA5" w:rsidRDefault="00000000">
            <w:r>
              <w:rPr>
                <w:sz w:val="18"/>
              </w:rPr>
              <w:t>None (read-only)</w:t>
            </w:r>
          </w:p>
        </w:tc>
        <w:tc>
          <w:tcPr>
            <w:tcW w:w="2880" w:type="dxa"/>
          </w:tcPr>
          <w:p w14:paraId="265C3F87" w14:textId="77777777" w:rsidR="00DE7FA5" w:rsidRDefault="00000000">
            <w:r>
              <w:rPr>
                <w:sz w:val="18"/>
              </w:rPr>
              <w:t>Yes (writes to ERP, updates databases, triggers workflows)</w:t>
            </w:r>
          </w:p>
        </w:tc>
      </w:tr>
      <w:tr w:rsidR="00DE7FA5" w14:paraId="7062EFBA" w14:textId="77777777">
        <w:tc>
          <w:tcPr>
            <w:tcW w:w="2880" w:type="dxa"/>
            <w:shd w:val="clear" w:color="auto" w:fill="F2F2F2"/>
          </w:tcPr>
          <w:p w14:paraId="13EB6686" w14:textId="77777777" w:rsidR="00DE7FA5" w:rsidRDefault="00000000">
            <w:r>
              <w:rPr>
                <w:sz w:val="18"/>
              </w:rPr>
              <w:t>Decision making</w:t>
            </w:r>
          </w:p>
        </w:tc>
        <w:tc>
          <w:tcPr>
            <w:tcW w:w="2880" w:type="dxa"/>
            <w:shd w:val="clear" w:color="auto" w:fill="F2F2F2"/>
          </w:tcPr>
          <w:p w14:paraId="48C8EDD5" w14:textId="77777777" w:rsidR="00DE7FA5" w:rsidRDefault="00000000">
            <w:r>
              <w:rPr>
                <w:sz w:val="18"/>
              </w:rPr>
              <w:t>Similarity scoring</w:t>
            </w:r>
          </w:p>
        </w:tc>
        <w:tc>
          <w:tcPr>
            <w:tcW w:w="2880" w:type="dxa"/>
            <w:shd w:val="clear" w:color="auto" w:fill="F2F2F2"/>
          </w:tcPr>
          <w:p w14:paraId="5F58E556" w14:textId="77777777" w:rsidR="00DE7FA5" w:rsidRDefault="00000000">
            <w:r>
              <w:rPr>
                <w:sz w:val="18"/>
              </w:rPr>
              <w:t>Reasoning over tool schemas, constraints, and business rules</w:t>
            </w:r>
          </w:p>
        </w:tc>
      </w:tr>
      <w:tr w:rsidR="00DE7FA5" w14:paraId="05D5A2F7" w14:textId="77777777">
        <w:tc>
          <w:tcPr>
            <w:tcW w:w="2880" w:type="dxa"/>
          </w:tcPr>
          <w:p w14:paraId="1E93AA75" w14:textId="77777777" w:rsidR="00DE7FA5" w:rsidRDefault="00000000">
            <w:r>
              <w:rPr>
                <w:sz w:val="18"/>
              </w:rPr>
              <w:t>Human role</w:t>
            </w:r>
          </w:p>
        </w:tc>
        <w:tc>
          <w:tcPr>
            <w:tcW w:w="2880" w:type="dxa"/>
          </w:tcPr>
          <w:p w14:paraId="21FF15F5" w14:textId="77777777" w:rsidR="00DE7FA5" w:rsidRDefault="00000000">
            <w:r>
              <w:rPr>
                <w:sz w:val="18"/>
              </w:rPr>
              <w:t>Reviews output quality</w:t>
            </w:r>
          </w:p>
        </w:tc>
        <w:tc>
          <w:tcPr>
            <w:tcW w:w="2880" w:type="dxa"/>
          </w:tcPr>
          <w:p w14:paraId="51FA2E78" w14:textId="77777777" w:rsidR="00DE7FA5" w:rsidRDefault="00000000">
            <w:r>
              <w:rPr>
                <w:sz w:val="18"/>
              </w:rPr>
              <w:t>Approves or corrects planned actions before execution</w:t>
            </w:r>
          </w:p>
        </w:tc>
      </w:tr>
      <w:tr w:rsidR="00DE7FA5" w14:paraId="7D6FD70D" w14:textId="77777777">
        <w:tc>
          <w:tcPr>
            <w:tcW w:w="2880" w:type="dxa"/>
            <w:shd w:val="clear" w:color="auto" w:fill="F2F2F2"/>
          </w:tcPr>
          <w:p w14:paraId="6FD98A63" w14:textId="77777777" w:rsidR="00DE7FA5" w:rsidRDefault="00000000">
            <w:r>
              <w:rPr>
                <w:sz w:val="18"/>
              </w:rPr>
              <w:t>Failure mode</w:t>
            </w:r>
          </w:p>
        </w:tc>
        <w:tc>
          <w:tcPr>
            <w:tcW w:w="2880" w:type="dxa"/>
            <w:shd w:val="clear" w:color="auto" w:fill="F2F2F2"/>
          </w:tcPr>
          <w:p w14:paraId="079EDBB3" w14:textId="77777777" w:rsidR="00DE7FA5" w:rsidRDefault="00000000">
            <w:r>
              <w:rPr>
                <w:sz w:val="18"/>
              </w:rPr>
              <w:t>Retrieves wrong or irrelevant documents</w:t>
            </w:r>
          </w:p>
        </w:tc>
        <w:tc>
          <w:tcPr>
            <w:tcW w:w="2880" w:type="dxa"/>
            <w:shd w:val="clear" w:color="auto" w:fill="F2F2F2"/>
          </w:tcPr>
          <w:p w14:paraId="745F0C82" w14:textId="77777777" w:rsidR="00DE7FA5" w:rsidRDefault="00000000">
            <w:r>
              <w:rPr>
                <w:sz w:val="18"/>
              </w:rPr>
              <w:t>Selects wrong tool, constructs invalid parameters, or bypasses governance</w:t>
            </w:r>
          </w:p>
        </w:tc>
      </w:tr>
      <w:tr w:rsidR="00DE7FA5" w14:paraId="50CB46F4" w14:textId="77777777">
        <w:tc>
          <w:tcPr>
            <w:tcW w:w="2880" w:type="dxa"/>
          </w:tcPr>
          <w:p w14:paraId="469A096E" w14:textId="77777777" w:rsidR="00DE7FA5" w:rsidRDefault="00000000">
            <w:r>
              <w:rPr>
                <w:sz w:val="18"/>
              </w:rPr>
              <w:t>Observability need</w:t>
            </w:r>
          </w:p>
        </w:tc>
        <w:tc>
          <w:tcPr>
            <w:tcW w:w="2880" w:type="dxa"/>
          </w:tcPr>
          <w:p w14:paraId="1E68969B" w14:textId="77777777" w:rsidR="00DE7FA5" w:rsidRDefault="00000000">
            <w:r>
              <w:rPr>
                <w:sz w:val="18"/>
              </w:rPr>
              <w:t>Retrieval metrics (P@K, MRR)</w:t>
            </w:r>
          </w:p>
        </w:tc>
        <w:tc>
          <w:tcPr>
            <w:tcW w:w="2880" w:type="dxa"/>
          </w:tcPr>
          <w:p w14:paraId="2D668363" w14:textId="77777777" w:rsidR="00DE7FA5" w:rsidRDefault="00000000">
            <w:r>
              <w:rPr>
                <w:sz w:val="18"/>
              </w:rPr>
              <w:t>Tool invocation traces, parameter validation, approval latency</w:t>
            </w:r>
          </w:p>
        </w:tc>
      </w:tr>
    </w:tbl>
    <w:p w14:paraId="216DDE40" w14:textId="77777777" w:rsidR="00DE7FA5" w:rsidRDefault="00DE7FA5"/>
    <w:p w14:paraId="0EF40E67" w14:textId="77777777" w:rsidR="00DE7FA5" w:rsidRDefault="00000000">
      <w:pPr>
        <w:spacing w:after="120"/>
      </w:pPr>
      <w:r>
        <w:t>RAG is one tool among several that the agent orchestrator can invoke. The intelligence of the system lies in the orchestrator, not in the retrieval mechanism.</w:t>
      </w:r>
    </w:p>
    <w:p w14:paraId="43D92E07" w14:textId="77777777" w:rsidR="00DE7FA5" w:rsidRDefault="00DE7FA5"/>
    <w:p w14:paraId="7DC7AD9D" w14:textId="77777777" w:rsidR="00DE7FA5" w:rsidRDefault="00000000">
      <w:pPr>
        <w:pStyle w:val="Heading1"/>
        <w:spacing w:after="240"/>
      </w:pPr>
      <w:r>
        <w:rPr>
          <w:rFonts w:ascii="Calibri" w:hAnsi="Calibri"/>
          <w:color w:val="1F4E78"/>
          <w:sz w:val="32"/>
        </w:rPr>
        <w:lastRenderedPageBreak/>
        <w:t>3. Mapping the Agent Pattern to Non-PO Invoice Coding</w:t>
      </w:r>
    </w:p>
    <w:p w14:paraId="705C4F87" w14:textId="0ADD3D7D" w:rsidR="00DE7FA5" w:rsidRDefault="00000000">
      <w:pPr>
        <w:spacing w:after="120"/>
      </w:pPr>
      <w:r>
        <w:rPr>
          <w:b/>
        </w:rPr>
        <w:t xml:space="preserve">The Springtime system </w:t>
      </w:r>
      <w:r w:rsidR="003E74D0">
        <w:rPr>
          <w:b/>
        </w:rPr>
        <w:t>solution may be</w:t>
      </w:r>
      <w:r>
        <w:rPr>
          <w:b/>
        </w:rPr>
        <w:t xml:space="preserve"> an agentic orchestrator with a defined tool catalogue. The LLM does not retrieve and hope. It reasons over the tool schema and selects the correct path.</w:t>
      </w:r>
    </w:p>
    <w:p w14:paraId="2063D2AD" w14:textId="77777777" w:rsidR="00DE7FA5" w:rsidRDefault="00000000">
      <w:pPr>
        <w:pStyle w:val="Heading2"/>
        <w:spacing w:after="160"/>
      </w:pPr>
      <w:r>
        <w:rPr>
          <w:rFonts w:ascii="Calibri" w:hAnsi="Calibri"/>
        </w:rPr>
        <w:t>3.1 The Tool Catalogue</w:t>
      </w:r>
    </w:p>
    <w:tbl>
      <w:tblPr>
        <w:tblStyle w:val="TableGrid"/>
        <w:tblW w:w="0" w:type="auto"/>
        <w:tblLook w:val="04A0" w:firstRow="1" w:lastRow="0" w:firstColumn="1" w:lastColumn="0" w:noHBand="0" w:noVBand="1"/>
      </w:tblPr>
      <w:tblGrid>
        <w:gridCol w:w="2160"/>
        <w:gridCol w:w="2160"/>
        <w:gridCol w:w="2160"/>
        <w:gridCol w:w="2160"/>
      </w:tblGrid>
      <w:tr w:rsidR="00DE7FA5" w14:paraId="1E488A20" w14:textId="77777777">
        <w:tc>
          <w:tcPr>
            <w:tcW w:w="2160" w:type="dxa"/>
            <w:shd w:val="clear" w:color="auto" w:fill="1F4E78"/>
          </w:tcPr>
          <w:p w14:paraId="3095E83A" w14:textId="77777777" w:rsidR="00DE7FA5" w:rsidRDefault="00000000">
            <w:r>
              <w:rPr>
                <w:b/>
                <w:color w:val="FFFFFF"/>
              </w:rPr>
              <w:t>Tool Name</w:t>
            </w:r>
          </w:p>
        </w:tc>
        <w:tc>
          <w:tcPr>
            <w:tcW w:w="2160" w:type="dxa"/>
            <w:shd w:val="clear" w:color="auto" w:fill="1F4E78"/>
          </w:tcPr>
          <w:p w14:paraId="01FAC773" w14:textId="77777777" w:rsidR="00DE7FA5" w:rsidRDefault="00000000">
            <w:r>
              <w:rPr>
                <w:b/>
                <w:color w:val="FFFFFF"/>
              </w:rPr>
              <w:t>Description</w:t>
            </w:r>
          </w:p>
        </w:tc>
        <w:tc>
          <w:tcPr>
            <w:tcW w:w="2160" w:type="dxa"/>
            <w:shd w:val="clear" w:color="auto" w:fill="1F4E78"/>
          </w:tcPr>
          <w:p w14:paraId="0CC23A1B" w14:textId="77777777" w:rsidR="00DE7FA5" w:rsidRDefault="00000000">
            <w:r>
              <w:rPr>
                <w:b/>
                <w:color w:val="FFFFFF"/>
              </w:rPr>
              <w:t>Parameters</w:t>
            </w:r>
          </w:p>
        </w:tc>
        <w:tc>
          <w:tcPr>
            <w:tcW w:w="2160" w:type="dxa"/>
            <w:shd w:val="clear" w:color="auto" w:fill="1F4E78"/>
          </w:tcPr>
          <w:p w14:paraId="123BE18D" w14:textId="77777777" w:rsidR="00DE7FA5" w:rsidRDefault="00000000">
            <w:r>
              <w:rPr>
                <w:b/>
                <w:color w:val="FFFFFF"/>
              </w:rPr>
              <w:t>Side Effects</w:t>
            </w:r>
          </w:p>
        </w:tc>
      </w:tr>
      <w:tr w:rsidR="00DE7FA5" w14:paraId="0AC66DAD" w14:textId="77777777">
        <w:tc>
          <w:tcPr>
            <w:tcW w:w="2160" w:type="dxa"/>
          </w:tcPr>
          <w:p w14:paraId="5FE7A2C9" w14:textId="77777777" w:rsidR="00DE7FA5" w:rsidRDefault="00000000">
            <w:r>
              <w:rPr>
                <w:sz w:val="18"/>
              </w:rPr>
              <w:t>rag_retrieve</w:t>
            </w:r>
          </w:p>
        </w:tc>
        <w:tc>
          <w:tcPr>
            <w:tcW w:w="2160" w:type="dxa"/>
          </w:tcPr>
          <w:p w14:paraId="545CE135" w14:textId="77777777" w:rsidR="00DE7FA5" w:rsidRDefault="00000000">
            <w:r>
              <w:rPr>
                <w:sz w:val="18"/>
              </w:rPr>
              <w:t>Retrieve historically coded lines similar to the current invoice</w:t>
            </w:r>
          </w:p>
        </w:tc>
        <w:tc>
          <w:tcPr>
            <w:tcW w:w="2160" w:type="dxa"/>
          </w:tcPr>
          <w:p w14:paraId="0A388ADE" w14:textId="77777777" w:rsidR="00DE7FA5" w:rsidRDefault="00000000">
            <w:r>
              <w:rPr>
                <w:sz w:val="18"/>
              </w:rPr>
              <w:t>vendor_id, description_embedding, amount, entity_id, top_k</w:t>
            </w:r>
          </w:p>
        </w:tc>
        <w:tc>
          <w:tcPr>
            <w:tcW w:w="2160" w:type="dxa"/>
          </w:tcPr>
          <w:p w14:paraId="36342D9B" w14:textId="77777777" w:rsidR="00DE7FA5" w:rsidRDefault="00000000">
            <w:r>
              <w:rPr>
                <w:sz w:val="18"/>
              </w:rPr>
              <w:t>None (read-only)</w:t>
            </w:r>
          </w:p>
        </w:tc>
      </w:tr>
      <w:tr w:rsidR="00DE7FA5" w14:paraId="5FD99D66" w14:textId="77777777">
        <w:tc>
          <w:tcPr>
            <w:tcW w:w="2160" w:type="dxa"/>
            <w:shd w:val="clear" w:color="auto" w:fill="F2F2F2"/>
          </w:tcPr>
          <w:p w14:paraId="796A3B91" w14:textId="77777777" w:rsidR="00DE7FA5" w:rsidRDefault="00000000">
            <w:r>
              <w:rPr>
                <w:sz w:val="18"/>
              </w:rPr>
              <w:t>evaluate_agreement</w:t>
            </w:r>
          </w:p>
        </w:tc>
        <w:tc>
          <w:tcPr>
            <w:tcW w:w="2160" w:type="dxa"/>
            <w:shd w:val="clear" w:color="auto" w:fill="F2F2F2"/>
          </w:tcPr>
          <w:p w14:paraId="7B7C32F1" w14:textId="77777777" w:rsidR="00DE7FA5" w:rsidRDefault="00000000">
            <w:r>
              <w:rPr>
                <w:sz w:val="18"/>
              </w:rPr>
              <w:t>Check whether retrieved lines agree on coding; assign confidence</w:t>
            </w:r>
          </w:p>
        </w:tc>
        <w:tc>
          <w:tcPr>
            <w:tcW w:w="2160" w:type="dxa"/>
            <w:shd w:val="clear" w:color="auto" w:fill="F2F2F2"/>
          </w:tcPr>
          <w:p w14:paraId="66BB3EC2" w14:textId="77777777" w:rsidR="00DE7FA5" w:rsidRDefault="00000000">
            <w:r>
              <w:rPr>
                <w:sz w:val="18"/>
              </w:rPr>
              <w:t>retrieved_chunks, agreement_threshold</w:t>
            </w:r>
          </w:p>
        </w:tc>
        <w:tc>
          <w:tcPr>
            <w:tcW w:w="2160" w:type="dxa"/>
            <w:shd w:val="clear" w:color="auto" w:fill="F2F2F2"/>
          </w:tcPr>
          <w:p w14:paraId="38639861" w14:textId="77777777" w:rsidR="00DE7FA5" w:rsidRDefault="00000000">
            <w:r>
              <w:rPr>
                <w:sz w:val="18"/>
              </w:rPr>
              <w:t>None (read-only)</w:t>
            </w:r>
          </w:p>
        </w:tc>
      </w:tr>
      <w:tr w:rsidR="00DE7FA5" w14:paraId="27AD509F" w14:textId="77777777">
        <w:tc>
          <w:tcPr>
            <w:tcW w:w="2160" w:type="dxa"/>
          </w:tcPr>
          <w:p w14:paraId="3A783BEE" w14:textId="77777777" w:rsidR="00DE7FA5" w:rsidRDefault="00000000">
            <w:r>
              <w:rPr>
                <w:sz w:val="18"/>
              </w:rPr>
              <w:t>deterministic_fallback</w:t>
            </w:r>
          </w:p>
        </w:tc>
        <w:tc>
          <w:tcPr>
            <w:tcW w:w="2160" w:type="dxa"/>
          </w:tcPr>
          <w:p w14:paraId="319FE630" w14:textId="77777777" w:rsidR="00DE7FA5" w:rsidRDefault="00000000">
            <w:r>
              <w:rPr>
                <w:sz w:val="18"/>
              </w:rPr>
              <w:t>Query the existing rules engine for a skill-based coding suggestion</w:t>
            </w:r>
          </w:p>
        </w:tc>
        <w:tc>
          <w:tcPr>
            <w:tcW w:w="2160" w:type="dxa"/>
          </w:tcPr>
          <w:p w14:paraId="5E4E9946" w14:textId="77777777" w:rsidR="00DE7FA5" w:rsidRDefault="00000000">
            <w:r>
              <w:rPr>
                <w:sz w:val="18"/>
              </w:rPr>
              <w:t>vendor_id, description, amount</w:t>
            </w:r>
          </w:p>
        </w:tc>
        <w:tc>
          <w:tcPr>
            <w:tcW w:w="2160" w:type="dxa"/>
          </w:tcPr>
          <w:p w14:paraId="085B0A78" w14:textId="77777777" w:rsidR="00DE7FA5" w:rsidRDefault="00000000">
            <w:r>
              <w:rPr>
                <w:sz w:val="18"/>
              </w:rPr>
              <w:t>None (read-only)</w:t>
            </w:r>
          </w:p>
        </w:tc>
      </w:tr>
      <w:tr w:rsidR="00DE7FA5" w14:paraId="5A2FA93B" w14:textId="77777777">
        <w:tc>
          <w:tcPr>
            <w:tcW w:w="2160" w:type="dxa"/>
            <w:shd w:val="clear" w:color="auto" w:fill="F2F2F2"/>
          </w:tcPr>
          <w:p w14:paraId="3EFAB1FD" w14:textId="77777777" w:rsidR="00DE7FA5" w:rsidRDefault="00000000">
            <w:r>
              <w:rPr>
                <w:sz w:val="18"/>
              </w:rPr>
              <w:t>llm_reason</w:t>
            </w:r>
          </w:p>
        </w:tc>
        <w:tc>
          <w:tcPr>
            <w:tcW w:w="2160" w:type="dxa"/>
            <w:shd w:val="clear" w:color="auto" w:fill="F2F2F2"/>
          </w:tcPr>
          <w:p w14:paraId="328B02AA" w14:textId="77777777" w:rsidR="00DE7FA5" w:rsidRDefault="00000000">
            <w:r>
              <w:rPr>
                <w:sz w:val="18"/>
              </w:rPr>
              <w:t>Synthesize conflicting evidence or parse conversational rules</w:t>
            </w:r>
          </w:p>
        </w:tc>
        <w:tc>
          <w:tcPr>
            <w:tcW w:w="2160" w:type="dxa"/>
            <w:shd w:val="clear" w:color="auto" w:fill="F2F2F2"/>
          </w:tcPr>
          <w:p w14:paraId="19F1FFBD" w14:textId="77777777" w:rsidR="00DE7FA5" w:rsidRDefault="00000000">
            <w:r>
              <w:rPr>
                <w:sz w:val="18"/>
              </w:rPr>
              <w:t>invoice_data, evidence, conversational_rules, ambiguity_type</w:t>
            </w:r>
          </w:p>
        </w:tc>
        <w:tc>
          <w:tcPr>
            <w:tcW w:w="2160" w:type="dxa"/>
            <w:shd w:val="clear" w:color="auto" w:fill="F2F2F2"/>
          </w:tcPr>
          <w:p w14:paraId="73ECB02D" w14:textId="77777777" w:rsidR="00DE7FA5" w:rsidRDefault="00000000">
            <w:r>
              <w:rPr>
                <w:sz w:val="18"/>
              </w:rPr>
              <w:t>None (read-only; produces recommendation only)</w:t>
            </w:r>
          </w:p>
        </w:tc>
      </w:tr>
      <w:tr w:rsidR="00DE7FA5" w14:paraId="18B65EF7" w14:textId="77777777">
        <w:tc>
          <w:tcPr>
            <w:tcW w:w="2160" w:type="dxa"/>
          </w:tcPr>
          <w:p w14:paraId="717C1213" w14:textId="77777777" w:rsidR="00DE7FA5" w:rsidRDefault="00000000">
            <w:r>
              <w:rPr>
                <w:sz w:val="18"/>
              </w:rPr>
              <w:t>route_to_review</w:t>
            </w:r>
          </w:p>
        </w:tc>
        <w:tc>
          <w:tcPr>
            <w:tcW w:w="2160" w:type="dxa"/>
          </w:tcPr>
          <w:p w14:paraId="3FCE5458" w14:textId="77777777" w:rsidR="00DE7FA5" w:rsidRDefault="00000000">
            <w:r>
              <w:rPr>
                <w:sz w:val="18"/>
              </w:rPr>
              <w:t>Send invoice to human review queue with context</w:t>
            </w:r>
          </w:p>
        </w:tc>
        <w:tc>
          <w:tcPr>
            <w:tcW w:w="2160" w:type="dxa"/>
          </w:tcPr>
          <w:p w14:paraId="69868E1B" w14:textId="77777777" w:rsidR="00DE7FA5" w:rsidRDefault="00000000">
            <w:r>
              <w:rPr>
                <w:sz w:val="18"/>
              </w:rPr>
              <w:t>invoice_id, prediction, confidence, evidence, reason_code</w:t>
            </w:r>
          </w:p>
        </w:tc>
        <w:tc>
          <w:tcPr>
            <w:tcW w:w="2160" w:type="dxa"/>
          </w:tcPr>
          <w:p w14:paraId="6A068F5A" w14:textId="77777777" w:rsidR="00DE7FA5" w:rsidRDefault="00000000">
            <w:r>
              <w:rPr>
                <w:sz w:val="18"/>
              </w:rPr>
              <w:t>Writes to review queue (non-destructive)</w:t>
            </w:r>
          </w:p>
        </w:tc>
      </w:tr>
      <w:tr w:rsidR="00DE7FA5" w14:paraId="427B6427" w14:textId="77777777">
        <w:tc>
          <w:tcPr>
            <w:tcW w:w="2160" w:type="dxa"/>
            <w:shd w:val="clear" w:color="auto" w:fill="F2F2F2"/>
          </w:tcPr>
          <w:p w14:paraId="2765F975" w14:textId="77777777" w:rsidR="00DE7FA5" w:rsidRDefault="00000000">
            <w:r>
              <w:rPr>
                <w:sz w:val="18"/>
              </w:rPr>
              <w:t>post_to_erp</w:t>
            </w:r>
          </w:p>
        </w:tc>
        <w:tc>
          <w:tcPr>
            <w:tcW w:w="2160" w:type="dxa"/>
            <w:shd w:val="clear" w:color="auto" w:fill="F2F2F2"/>
          </w:tcPr>
          <w:p w14:paraId="0E1FBB2C" w14:textId="77777777" w:rsidR="00DE7FA5" w:rsidRDefault="00000000">
            <w:r>
              <w:rPr>
                <w:sz w:val="18"/>
              </w:rPr>
              <w:t>Write confirmed coding rows to the client ERP</w:t>
            </w:r>
          </w:p>
        </w:tc>
        <w:tc>
          <w:tcPr>
            <w:tcW w:w="2160" w:type="dxa"/>
            <w:shd w:val="clear" w:color="auto" w:fill="F2F2F2"/>
          </w:tcPr>
          <w:p w14:paraId="725C4D44" w14:textId="77777777" w:rsidR="00DE7FA5" w:rsidRDefault="00000000">
            <w:r>
              <w:rPr>
                <w:sz w:val="18"/>
              </w:rPr>
              <w:t>invoice_id, coding_rows, trace_id</w:t>
            </w:r>
          </w:p>
        </w:tc>
        <w:tc>
          <w:tcPr>
            <w:tcW w:w="2160" w:type="dxa"/>
            <w:shd w:val="clear" w:color="auto" w:fill="F2F2F2"/>
          </w:tcPr>
          <w:p w14:paraId="5A0D1214" w14:textId="77777777" w:rsidR="00DE7FA5" w:rsidRDefault="00000000">
            <w:r>
              <w:rPr>
                <w:sz w:val="18"/>
              </w:rPr>
              <w:t>Writes to ERP (destructive; requires confirmation)</w:t>
            </w:r>
          </w:p>
        </w:tc>
      </w:tr>
      <w:tr w:rsidR="00DE7FA5" w14:paraId="335031B1" w14:textId="77777777">
        <w:tc>
          <w:tcPr>
            <w:tcW w:w="2160" w:type="dxa"/>
          </w:tcPr>
          <w:p w14:paraId="12BE12AC" w14:textId="77777777" w:rsidR="00DE7FA5" w:rsidRDefault="00000000">
            <w:r>
              <w:rPr>
                <w:sz w:val="18"/>
              </w:rPr>
              <w:t>index_outcome</w:t>
            </w:r>
          </w:p>
        </w:tc>
        <w:tc>
          <w:tcPr>
            <w:tcW w:w="2160" w:type="dxa"/>
          </w:tcPr>
          <w:p w14:paraId="20DF168B" w14:textId="77777777" w:rsidR="00DE7FA5" w:rsidRDefault="00000000">
            <w:r>
              <w:rPr>
                <w:sz w:val="18"/>
              </w:rPr>
              <w:t>Add confirmed outcome to the vector store for future retrieval</w:t>
            </w:r>
          </w:p>
        </w:tc>
        <w:tc>
          <w:tcPr>
            <w:tcW w:w="2160" w:type="dxa"/>
          </w:tcPr>
          <w:p w14:paraId="2970A5F8" w14:textId="77777777" w:rsidR="00DE7FA5" w:rsidRDefault="00000000">
            <w:r>
              <w:rPr>
                <w:sz w:val="18"/>
              </w:rPr>
              <w:t>invoice_id, description_embedding, coding_rows, source</w:t>
            </w:r>
          </w:p>
        </w:tc>
        <w:tc>
          <w:tcPr>
            <w:tcW w:w="2160" w:type="dxa"/>
          </w:tcPr>
          <w:p w14:paraId="619BDBE8" w14:textId="77777777" w:rsidR="00DE7FA5" w:rsidRDefault="00000000">
            <w:r>
              <w:rPr>
                <w:sz w:val="18"/>
              </w:rPr>
              <w:t>Writes to corpus (non-destructive)</w:t>
            </w:r>
          </w:p>
        </w:tc>
      </w:tr>
    </w:tbl>
    <w:p w14:paraId="268F280C" w14:textId="77777777" w:rsidR="00DE7FA5" w:rsidRDefault="00DE7FA5"/>
    <w:p w14:paraId="5D00188B" w14:textId="77777777" w:rsidR="00DE7FA5" w:rsidRDefault="00000000">
      <w:pPr>
        <w:pStyle w:val="Heading2"/>
        <w:spacing w:after="160"/>
      </w:pPr>
      <w:r>
        <w:rPr>
          <w:rFonts w:ascii="Calibri" w:hAnsi="Calibri"/>
        </w:rPr>
        <w:t>3.2 The Agent Loop for a Standard Invoice</w:t>
      </w:r>
    </w:p>
    <w:p w14:paraId="67BA7192" w14:textId="77777777" w:rsidR="00DE7FA5" w:rsidRDefault="00000000">
      <w:pPr>
        <w:spacing w:after="120"/>
      </w:pPr>
      <w:r>
        <w:t>The orchestrator executes the following sequence:</w:t>
      </w:r>
    </w:p>
    <w:p w14:paraId="76A3EF83" w14:textId="77777777" w:rsidR="00DE7FA5" w:rsidRDefault="00000000">
      <w:pPr>
        <w:pStyle w:val="ListBullet"/>
        <w:spacing w:after="80"/>
      </w:pPr>
      <w:r>
        <w:t>1. Ingest: receive structured invoice data from the existing pipeline</w:t>
      </w:r>
    </w:p>
    <w:p w14:paraId="0A287000" w14:textId="77777777" w:rsidR="00DE7FA5" w:rsidRDefault="00000000">
      <w:pPr>
        <w:pStyle w:val="ListBullet"/>
        <w:spacing w:after="80"/>
      </w:pPr>
      <w:r>
        <w:t>2. Resolve: call MDM tool to canonicalise vendor (tool: external service)</w:t>
      </w:r>
    </w:p>
    <w:p w14:paraId="4C5D69C5" w14:textId="77777777" w:rsidR="00DE7FA5" w:rsidRDefault="00000000">
      <w:pPr>
        <w:pStyle w:val="ListBullet"/>
        <w:spacing w:after="80"/>
      </w:pPr>
      <w:r>
        <w:t>3. Retrieve: call rag_retrieve with vendor, description, amount, entity</w:t>
      </w:r>
    </w:p>
    <w:p w14:paraId="36AF8621" w14:textId="77777777" w:rsidR="00DE7FA5" w:rsidRDefault="00000000">
      <w:pPr>
        <w:pStyle w:val="ListBullet"/>
        <w:spacing w:after="80"/>
      </w:pPr>
      <w:r>
        <w:t>4. Evaluate: call evaluate_agreement on retrieved chunks</w:t>
      </w:r>
    </w:p>
    <w:p w14:paraId="06B9787B" w14:textId="77777777" w:rsidR="00DE7FA5" w:rsidRDefault="00000000">
      <w:pPr>
        <w:pStyle w:val="ListBullet"/>
        <w:spacing w:after="80"/>
      </w:pPr>
      <w:r>
        <w:t>5. Decide: if confidence &gt; threshold and policy passes, select post_to_erp</w:t>
      </w:r>
    </w:p>
    <w:p w14:paraId="144FCE05" w14:textId="77777777" w:rsidR="00DE7FA5" w:rsidRDefault="00000000">
      <w:pPr>
        <w:pStyle w:val="ListBullet"/>
        <w:spacing w:after="80"/>
      </w:pPr>
      <w:r>
        <w:t>6. Confirm: for auto-post, no human confirmation needed (policy pre-approved)</w:t>
      </w:r>
    </w:p>
    <w:p w14:paraId="549F464B" w14:textId="77777777" w:rsidR="00DE7FA5" w:rsidRDefault="00000000">
      <w:pPr>
        <w:pStyle w:val="ListBullet"/>
        <w:spacing w:after="80"/>
      </w:pPr>
      <w:r>
        <w:t>7. Execute: post_to_erp writes coding rows to client ERP</w:t>
      </w:r>
    </w:p>
    <w:p w14:paraId="7D589916" w14:textId="77777777" w:rsidR="00DE7FA5" w:rsidRDefault="00000000">
      <w:pPr>
        <w:pStyle w:val="ListBullet"/>
        <w:spacing w:after="80"/>
      </w:pPr>
      <w:r>
        <w:t>8. Index: call index_outcome to add the confirmed coding to the corpus</w:t>
      </w:r>
    </w:p>
    <w:p w14:paraId="4AF5EC22" w14:textId="77777777" w:rsidR="00DE7FA5" w:rsidRDefault="00000000">
      <w:pPr>
        <w:pStyle w:val="ListBullet"/>
        <w:spacing w:after="80"/>
      </w:pPr>
      <w:r>
        <w:t>9. Trace: distributed trace records the full loop: retrieve -&gt; evaluate -&gt; post -&gt; index</w:t>
      </w:r>
    </w:p>
    <w:p w14:paraId="5770BA07" w14:textId="77777777" w:rsidR="00DE7FA5" w:rsidRDefault="00000000">
      <w:pPr>
        <w:pStyle w:val="Heading2"/>
        <w:spacing w:after="160"/>
      </w:pPr>
      <w:r>
        <w:rPr>
          <w:rFonts w:ascii="Calibri" w:hAnsi="Calibri"/>
        </w:rPr>
        <w:t>3.3 The Agent Loop for an Ambiguous Invoice</w:t>
      </w:r>
    </w:p>
    <w:p w14:paraId="1A9D8B0B" w14:textId="77777777" w:rsidR="00DE7FA5" w:rsidRDefault="00000000">
      <w:pPr>
        <w:spacing w:after="120"/>
      </w:pPr>
      <w:r>
        <w:t>The same orchestrator handles ambiguity by selecting different tools:</w:t>
      </w:r>
    </w:p>
    <w:p w14:paraId="28EBD913" w14:textId="77777777" w:rsidR="00DE7FA5" w:rsidRDefault="00000000">
      <w:pPr>
        <w:pStyle w:val="ListBullet"/>
        <w:spacing w:after="80"/>
      </w:pPr>
      <w:r>
        <w:t>1. Ingest and resolve (same as above)</w:t>
      </w:r>
    </w:p>
    <w:p w14:paraId="7AF36A97" w14:textId="77777777" w:rsidR="00DE7FA5" w:rsidRDefault="00000000">
      <w:pPr>
        <w:pStyle w:val="ListBullet"/>
        <w:spacing w:after="80"/>
      </w:pPr>
      <w:r>
        <w:t>2. Retrieve: rag_retrieve returns conflicting evidence (2 lines say GL 6100, 1 says GL 6200)</w:t>
      </w:r>
    </w:p>
    <w:p w14:paraId="674D2800" w14:textId="77777777" w:rsidR="00DE7FA5" w:rsidRDefault="00000000">
      <w:pPr>
        <w:pStyle w:val="ListBullet"/>
        <w:spacing w:after="80"/>
      </w:pPr>
      <w:r>
        <w:t>3. Evaluate: evaluate_agreement returns low confidence (0.45)</w:t>
      </w:r>
    </w:p>
    <w:p w14:paraId="16047FAA" w14:textId="77777777" w:rsidR="00DE7FA5" w:rsidRDefault="00000000">
      <w:pPr>
        <w:pStyle w:val="ListBullet"/>
        <w:spacing w:after="80"/>
      </w:pPr>
      <w:r>
        <w:lastRenderedPageBreak/>
        <w:t>4. Decide: confidence below threshold; select llm_reason to synthesise conflict</w:t>
      </w:r>
    </w:p>
    <w:p w14:paraId="45A2534E" w14:textId="77777777" w:rsidR="00DE7FA5" w:rsidRDefault="00000000">
      <w:pPr>
        <w:pStyle w:val="ListBullet"/>
        <w:spacing w:after="80"/>
      </w:pPr>
      <w:r>
        <w:t>5. Reason: llm_reason produces recommendation with explanation</w:t>
      </w:r>
    </w:p>
    <w:p w14:paraId="7F62BA2A" w14:textId="77777777" w:rsidR="00DE7FA5" w:rsidRDefault="00000000">
      <w:pPr>
        <w:pStyle w:val="ListBullet"/>
        <w:spacing w:after="80"/>
      </w:pPr>
      <w:r>
        <w:t>6. Route: select route_to_review; present prediction + reasoning + evidence to clerk</w:t>
      </w:r>
    </w:p>
    <w:p w14:paraId="098CCD81" w14:textId="77777777" w:rsidR="00DE7FA5" w:rsidRDefault="00000000">
      <w:pPr>
        <w:pStyle w:val="ListBullet"/>
        <w:spacing w:after="80"/>
      </w:pPr>
      <w:r>
        <w:t>7. Confirm: clerk reviews and clicks Confirm or Correct</w:t>
      </w:r>
    </w:p>
    <w:p w14:paraId="79B4853B" w14:textId="77777777" w:rsidR="00DE7FA5" w:rsidRDefault="00000000">
      <w:pPr>
        <w:pStyle w:val="ListBullet"/>
        <w:spacing w:after="80"/>
      </w:pPr>
      <w:r>
        <w:t>8. Execute: if confirmed, post_to_erp; if corrected, post corrected coding</w:t>
      </w:r>
    </w:p>
    <w:p w14:paraId="1D68318E" w14:textId="77777777" w:rsidR="00DE7FA5" w:rsidRDefault="00000000">
      <w:pPr>
        <w:pStyle w:val="ListBullet"/>
        <w:spacing w:after="80"/>
      </w:pPr>
      <w:r>
        <w:t>9. Index: index_outcome adds the final coding; if conversational rule submitted, parse and index it</w:t>
      </w:r>
    </w:p>
    <w:p w14:paraId="4141D7A6" w14:textId="77777777" w:rsidR="00DE7FA5" w:rsidRDefault="00000000">
      <w:pPr>
        <w:pStyle w:val="ListBullet"/>
        <w:spacing w:after="80"/>
      </w:pPr>
      <w:r>
        <w:t>10. Trace: full audit trail including the LLM reasoning step and the clerk action</w:t>
      </w:r>
    </w:p>
    <w:p w14:paraId="15FAC496" w14:textId="77777777" w:rsidR="00DE7FA5" w:rsidRDefault="00000000">
      <w:pPr>
        <w:spacing w:after="120"/>
      </w:pPr>
      <w:r>
        <w:t>The LLM is not invoked on every invoice. It is invoked conditionally, as one tool in the catalogue, when the evaluator signals ambiguity. This is the agentic pattern: reason over tools, select the right one, execute under governance.</w:t>
      </w:r>
    </w:p>
    <w:p w14:paraId="50547AB2" w14:textId="77777777" w:rsidR="00DE7FA5" w:rsidRDefault="00DE7FA5"/>
    <w:p w14:paraId="53F3CE16" w14:textId="77777777" w:rsidR="00DE7FA5" w:rsidRDefault="00000000">
      <w:pPr>
        <w:pStyle w:val="Heading1"/>
        <w:spacing w:after="240"/>
      </w:pPr>
      <w:r>
        <w:rPr>
          <w:rFonts w:ascii="Calibri" w:hAnsi="Calibri"/>
          <w:color w:val="1F4E78"/>
          <w:sz w:val="32"/>
        </w:rPr>
        <w:t>4. Governance: Universal Principles, Domain-Specific Application</w:t>
      </w:r>
    </w:p>
    <w:p w14:paraId="4B361083" w14:textId="77777777" w:rsidR="00DE7FA5" w:rsidRDefault="00000000">
      <w:pPr>
        <w:spacing w:after="120"/>
      </w:pPr>
      <w:r>
        <w:rPr>
          <w:b/>
        </w:rPr>
        <w:t>The governance model from agentic tool-calling systems maps directly to invoice coding:</w:t>
      </w:r>
    </w:p>
    <w:tbl>
      <w:tblPr>
        <w:tblStyle w:val="TableGrid"/>
        <w:tblW w:w="0" w:type="auto"/>
        <w:tblLook w:val="04A0" w:firstRow="1" w:lastRow="0" w:firstColumn="1" w:lastColumn="0" w:noHBand="0" w:noVBand="1"/>
      </w:tblPr>
      <w:tblGrid>
        <w:gridCol w:w="2880"/>
        <w:gridCol w:w="2880"/>
        <w:gridCol w:w="2880"/>
      </w:tblGrid>
      <w:tr w:rsidR="00DE7FA5" w14:paraId="4244AC4E" w14:textId="77777777">
        <w:tc>
          <w:tcPr>
            <w:tcW w:w="2880" w:type="dxa"/>
            <w:shd w:val="clear" w:color="auto" w:fill="1F4E78"/>
          </w:tcPr>
          <w:p w14:paraId="7424485B" w14:textId="77777777" w:rsidR="00DE7FA5" w:rsidRDefault="00000000">
            <w:r>
              <w:rPr>
                <w:b/>
                <w:color w:val="FFFFFF"/>
              </w:rPr>
              <w:t>General Agentic Principle</w:t>
            </w:r>
          </w:p>
        </w:tc>
        <w:tc>
          <w:tcPr>
            <w:tcW w:w="2880" w:type="dxa"/>
            <w:shd w:val="clear" w:color="auto" w:fill="1F4E78"/>
          </w:tcPr>
          <w:p w14:paraId="2EF8B1F0" w14:textId="77777777" w:rsidR="00DE7FA5" w:rsidRDefault="00000000">
            <w:r>
              <w:rPr>
                <w:b/>
                <w:color w:val="FFFFFF"/>
              </w:rPr>
              <w:t>Springtime Application</w:t>
            </w:r>
          </w:p>
        </w:tc>
        <w:tc>
          <w:tcPr>
            <w:tcW w:w="2880" w:type="dxa"/>
            <w:shd w:val="clear" w:color="auto" w:fill="1F4E78"/>
          </w:tcPr>
          <w:p w14:paraId="15CF06CD" w14:textId="77777777" w:rsidR="00DE7FA5" w:rsidRDefault="00000000">
            <w:r>
              <w:rPr>
                <w:b/>
                <w:color w:val="FFFFFF"/>
              </w:rPr>
              <w:t>Governance Mechanism</w:t>
            </w:r>
          </w:p>
        </w:tc>
      </w:tr>
      <w:tr w:rsidR="00DE7FA5" w14:paraId="2C14E07D" w14:textId="77777777">
        <w:tc>
          <w:tcPr>
            <w:tcW w:w="2880" w:type="dxa"/>
          </w:tcPr>
          <w:p w14:paraId="5F931143" w14:textId="77777777" w:rsidR="00DE7FA5" w:rsidRDefault="00000000">
            <w:r>
              <w:rPr>
                <w:sz w:val="18"/>
              </w:rPr>
              <w:t>Approval before destructive writes</w:t>
            </w:r>
          </w:p>
        </w:tc>
        <w:tc>
          <w:tcPr>
            <w:tcW w:w="2880" w:type="dxa"/>
          </w:tcPr>
          <w:p w14:paraId="280A2AE2" w14:textId="77777777" w:rsidR="00DE7FA5" w:rsidRDefault="00000000">
            <w:r>
              <w:rPr>
                <w:sz w:val="18"/>
              </w:rPr>
              <w:t>Human review queue before auto-post</w:t>
            </w:r>
          </w:p>
        </w:tc>
        <w:tc>
          <w:tcPr>
            <w:tcW w:w="2880" w:type="dxa"/>
          </w:tcPr>
          <w:p w14:paraId="291BD707" w14:textId="77777777" w:rsidR="00DE7FA5" w:rsidRDefault="00000000">
            <w:r>
              <w:rPr>
                <w:sz w:val="18"/>
              </w:rPr>
              <w:t>Destructive actions require human confirmation</w:t>
            </w:r>
          </w:p>
        </w:tc>
      </w:tr>
      <w:tr w:rsidR="00DE7FA5" w14:paraId="40778AB8" w14:textId="77777777">
        <w:tc>
          <w:tcPr>
            <w:tcW w:w="2880" w:type="dxa"/>
            <w:shd w:val="clear" w:color="auto" w:fill="F2F2F2"/>
          </w:tcPr>
          <w:p w14:paraId="37F4F70C" w14:textId="77777777" w:rsidR="00DE7FA5" w:rsidRDefault="00000000">
            <w:r>
              <w:rPr>
                <w:sz w:val="18"/>
              </w:rPr>
              <w:t>Semantic integrity checks before data creation</w:t>
            </w:r>
          </w:p>
        </w:tc>
        <w:tc>
          <w:tcPr>
            <w:tcW w:w="2880" w:type="dxa"/>
            <w:shd w:val="clear" w:color="auto" w:fill="F2F2F2"/>
          </w:tcPr>
          <w:p w14:paraId="4BB666D1" w14:textId="77777777" w:rsidR="00DE7FA5" w:rsidRDefault="00000000">
            <w:r>
              <w:rPr>
                <w:sz w:val="18"/>
              </w:rPr>
              <w:t>Vendor resolution + entity isolation before retrieval</w:t>
            </w:r>
          </w:p>
        </w:tc>
        <w:tc>
          <w:tcPr>
            <w:tcW w:w="2880" w:type="dxa"/>
            <w:shd w:val="clear" w:color="auto" w:fill="F2F2F2"/>
          </w:tcPr>
          <w:p w14:paraId="2F934980" w14:textId="77777777" w:rsidR="00DE7FA5" w:rsidRDefault="00000000">
            <w:r>
              <w:rPr>
                <w:sz w:val="18"/>
              </w:rPr>
              <w:t>Data integrity checks before processing</w:t>
            </w:r>
          </w:p>
        </w:tc>
      </w:tr>
      <w:tr w:rsidR="00DE7FA5" w14:paraId="722F41CF" w14:textId="77777777">
        <w:tc>
          <w:tcPr>
            <w:tcW w:w="2880" w:type="dxa"/>
          </w:tcPr>
          <w:p w14:paraId="451178CE" w14:textId="77777777" w:rsidR="00DE7FA5" w:rsidRDefault="00000000">
            <w:r>
              <w:rPr>
                <w:sz w:val="18"/>
              </w:rPr>
              <w:t>Read-only tools execute automatically</w:t>
            </w:r>
          </w:p>
        </w:tc>
        <w:tc>
          <w:tcPr>
            <w:tcW w:w="2880" w:type="dxa"/>
          </w:tcPr>
          <w:p w14:paraId="4A544702" w14:textId="77777777" w:rsidR="00DE7FA5" w:rsidRDefault="00000000">
            <w:r>
              <w:rPr>
                <w:sz w:val="18"/>
              </w:rPr>
              <w:t>High-confidence predictions auto-post</w:t>
            </w:r>
          </w:p>
        </w:tc>
        <w:tc>
          <w:tcPr>
            <w:tcW w:w="2880" w:type="dxa"/>
          </w:tcPr>
          <w:p w14:paraId="1E34FF34" w14:textId="77777777" w:rsidR="00DE7FA5" w:rsidRDefault="00000000">
            <w:r>
              <w:rPr>
                <w:sz w:val="18"/>
              </w:rPr>
              <w:t>Non-destructive actions can be automated</w:t>
            </w:r>
          </w:p>
        </w:tc>
      </w:tr>
      <w:tr w:rsidR="00DE7FA5" w14:paraId="1E4E0F1C" w14:textId="77777777">
        <w:tc>
          <w:tcPr>
            <w:tcW w:w="2880" w:type="dxa"/>
            <w:shd w:val="clear" w:color="auto" w:fill="F2F2F2"/>
          </w:tcPr>
          <w:p w14:paraId="19FC8CD3" w14:textId="77777777" w:rsidR="00DE7FA5" w:rsidRDefault="00000000">
            <w:r>
              <w:rPr>
                <w:sz w:val="18"/>
              </w:rPr>
              <w:t>Distributed traces across all tool invocations</w:t>
            </w:r>
          </w:p>
        </w:tc>
        <w:tc>
          <w:tcPr>
            <w:tcW w:w="2880" w:type="dxa"/>
            <w:shd w:val="clear" w:color="auto" w:fill="F2F2F2"/>
          </w:tcPr>
          <w:p w14:paraId="08B3406A" w14:textId="77777777" w:rsidR="00DE7FA5" w:rsidRDefault="00000000">
            <w:r>
              <w:rPr>
                <w:sz w:val="18"/>
              </w:rPr>
              <w:t>Audit traces across retrieval, evaluation, routing, posting</w:t>
            </w:r>
          </w:p>
        </w:tc>
        <w:tc>
          <w:tcPr>
            <w:tcW w:w="2880" w:type="dxa"/>
            <w:shd w:val="clear" w:color="auto" w:fill="F2F2F2"/>
          </w:tcPr>
          <w:p w14:paraId="5FBADA1A" w14:textId="77777777" w:rsidR="00DE7FA5" w:rsidRDefault="00000000">
            <w:r>
              <w:rPr>
                <w:sz w:val="18"/>
              </w:rPr>
              <w:t>Every decision is reconstructible</w:t>
            </w:r>
          </w:p>
        </w:tc>
      </w:tr>
      <w:tr w:rsidR="00DE7FA5" w14:paraId="2DB97F28" w14:textId="77777777">
        <w:tc>
          <w:tcPr>
            <w:tcW w:w="2880" w:type="dxa"/>
          </w:tcPr>
          <w:p w14:paraId="33A65BB9" w14:textId="77777777" w:rsidR="00DE7FA5" w:rsidRDefault="00000000">
            <w:r>
              <w:rPr>
                <w:sz w:val="18"/>
              </w:rPr>
              <w:t>Behavioural drift detection</w:t>
            </w:r>
          </w:p>
        </w:tc>
        <w:tc>
          <w:tcPr>
            <w:tcW w:w="2880" w:type="dxa"/>
          </w:tcPr>
          <w:p w14:paraId="101984AD" w14:textId="77777777" w:rsidR="00DE7FA5" w:rsidRDefault="00000000">
            <w:r>
              <w:rPr>
                <w:sz w:val="18"/>
              </w:rPr>
              <w:t>Correction rate monitoring per vendor</w:t>
            </w:r>
          </w:p>
        </w:tc>
        <w:tc>
          <w:tcPr>
            <w:tcW w:w="2880" w:type="dxa"/>
          </w:tcPr>
          <w:p w14:paraId="3E03AABA" w14:textId="77777777" w:rsidR="00DE7FA5" w:rsidRDefault="00000000">
            <w:r>
              <w:rPr>
                <w:sz w:val="18"/>
              </w:rPr>
              <w:t>Anomalies are caught before they compound</w:t>
            </w:r>
          </w:p>
        </w:tc>
      </w:tr>
    </w:tbl>
    <w:p w14:paraId="404FF65A" w14:textId="77777777" w:rsidR="00DE7FA5" w:rsidRDefault="00DE7FA5"/>
    <w:p w14:paraId="56AAA5D9" w14:textId="77777777" w:rsidR="00DE7FA5" w:rsidRDefault="00DE7FA5"/>
    <w:p w14:paraId="6BA956C9" w14:textId="77777777" w:rsidR="00DE7FA5" w:rsidRDefault="00000000">
      <w:pPr>
        <w:pStyle w:val="Heading1"/>
        <w:spacing w:after="240"/>
      </w:pPr>
      <w:r>
        <w:rPr>
          <w:rFonts w:ascii="Calibri" w:hAnsi="Calibri"/>
          <w:color w:val="1F4E78"/>
          <w:sz w:val="32"/>
        </w:rPr>
        <w:t>5. The Answer to the Core Question</w:t>
      </w:r>
    </w:p>
    <w:p w14:paraId="5A735EDE" w14:textId="77777777" w:rsidR="00DE7FA5" w:rsidRDefault="00000000">
      <w:pPr>
        <w:spacing w:after="120"/>
      </w:pPr>
      <w:r>
        <w:rPr>
          <w:b/>
        </w:rPr>
        <w:t>The concern is that RAG-based systems often have limited success rates in production. The response is not "use better vectors." The response is: do not rely on vector search as the intelligence. Rely on it as one tool in an agentic orchestration layer that decides when retrieval is trustworthy, when to fall back to deterministic rules, when to invoke reasoning, and when to escalate to a human.</w:t>
      </w:r>
    </w:p>
    <w:p w14:paraId="170B629D" w14:textId="77777777" w:rsidR="00DE7FA5" w:rsidRDefault="00000000">
      <w:pPr>
        <w:spacing w:after="120"/>
      </w:pPr>
      <w:r>
        <w:t>Vector search has known limits: sparse corpora, noisy descriptions, embedding drift, and out-of-distribution queries. A production system does not pretend these limits do not exist. It compensates for them with structured tool selection, explicit confidence scoring, mandatory human governance, and comprehensive traceability.</w:t>
      </w:r>
    </w:p>
    <w:p w14:paraId="2AD2CD18" w14:textId="77777777" w:rsidR="00DE7FA5" w:rsidRDefault="00000000">
      <w:pPr>
        <w:spacing w:after="120"/>
      </w:pPr>
      <w:r>
        <w:rPr>
          <w:b/>
          <w:i/>
        </w:rPr>
        <w:t>That is the agentic design beyond RAG.</w:t>
      </w:r>
    </w:p>
    <w:sectPr w:rsidR="00DE7F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520843">
    <w:abstractNumId w:val="8"/>
  </w:num>
  <w:num w:numId="2" w16cid:durableId="1733431556">
    <w:abstractNumId w:val="6"/>
  </w:num>
  <w:num w:numId="3" w16cid:durableId="1174568739">
    <w:abstractNumId w:val="5"/>
  </w:num>
  <w:num w:numId="4" w16cid:durableId="1808277765">
    <w:abstractNumId w:val="4"/>
  </w:num>
  <w:num w:numId="5" w16cid:durableId="1448161176">
    <w:abstractNumId w:val="7"/>
  </w:num>
  <w:num w:numId="6" w16cid:durableId="522087276">
    <w:abstractNumId w:val="3"/>
  </w:num>
  <w:num w:numId="7" w16cid:durableId="1919443509">
    <w:abstractNumId w:val="2"/>
  </w:num>
  <w:num w:numId="8" w16cid:durableId="950479687">
    <w:abstractNumId w:val="1"/>
  </w:num>
  <w:num w:numId="9" w16cid:durableId="36995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4D0"/>
    <w:rsid w:val="00AA1D8D"/>
    <w:rsid w:val="00B47730"/>
    <w:rsid w:val="00CB0664"/>
    <w:rsid w:val="00DE7FA5"/>
    <w:rsid w:val="00F550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58A3A"/>
  <w14:defaultImageDpi w14:val="300"/>
  <w15:docId w15:val="{97F66312-2E0C-4B2D-AE6D-767C2112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2026-09-02T07:03:00Z</dcterms:modified>
  <cp:category/>
</cp:coreProperties>
</file>