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Retrieval Design</w:t>
      </w:r>
    </w:p>
    <w:p>
      <w:r>
        <w:t xml:space="preserve">Technical Design Document | AP Automation | September 2026</w:t>
      </w:r>
    </w:p>
    <w:p/>
    <w:p>
      <w:pPr>
        <w:pStyle w:val="Heading1"/>
      </w:pPr>
      <w:r>
        <w:t xml:space="preserve">1. Purpose</w:t>
      </w:r>
    </w:p>
    <w:p>
      <w:r>
        <w:t xml:space="preserve">This document defines the retrieval architecture for the non-PO invoice coding system. It covers metadata filtering, embedding strategy, ranked retrieval, confidence scoring, hybrid retrieval, write-back quality controls, and cold-start handling. The hybrid retrieval and re-ranking combination is the single biggest quality lever in the system.</w:t>
      </w:r>
    </w:p>
    <w:p/>
    <w:p>
      <w:pPr>
        <w:pStyle w:val="Heading1"/>
      </w:pPr>
      <w:r>
        <w:t xml:space="preserve">2. Guiding Principle</w:t>
      </w:r>
    </w:p>
    <w:p>
      <w:r>
        <w:t xml:space="preserve">This is a </w:t>
      </w:r>
      <w:r>
        <w:rPr>
          <w:b/>
          <w:bCs/>
        </w:rPr>
        <w:t xml:space="preserve">precedent retrieval problem</w:t>
      </w:r>
      <w:r>
        <w:t xml:space="preserve">, not a generation problem. The system never derives a GL code from scratch. It retrieves confirmed historical lines and votes on the answer. The confidence gate is the control mechanism. The write-back loop is the learning mechanism.</w:t>
      </w:r>
    </w:p>
    <w:p/>
    <w:p>
      <w:pPr>
        <w:pStyle w:val="Heading1"/>
      </w:pPr>
      <w:r>
        <w:t xml:space="preserve">3. Metadata Filtering (Pre-Retrieval)</w:t>
      </w:r>
    </w:p>
    <w:p>
      <w:r>
        <w:t xml:space="preserve">Filter before vector search. Do not let embeddings do work that hard rules should. The following fields are applied as structured filters against the vector store before any similarity search runs:</w:t>
      </w:r>
    </w:p>
    <w:p/>
    <w:p>
      <w:pPr>
        <w:pStyle w:val="ListParagraph"/>
        <w:numPr>
          <w:ilvl w:val="0"/>
          <w:numId w:val="2"/>
        </w:numPr>
      </w:pPr>
      <w:r>
        <w:t xml:space="preserve">Vendor canonical ID — exact match</w:t>
      </w:r>
    </w:p>
    <w:p>
      <w:pPr>
        <w:pStyle w:val="ListParagraph"/>
        <w:numPr>
          <w:ilvl w:val="0"/>
          <w:numId w:val="2"/>
        </w:numPr>
      </w:pPr>
      <w:r>
        <w:t xml:space="preserve">Entity / legal entity — exact match</w:t>
      </w:r>
    </w:p>
    <w:p>
      <w:pPr>
        <w:pStyle w:val="ListParagraph"/>
        <w:numPr>
          <w:ilvl w:val="0"/>
          <w:numId w:val="2"/>
        </w:numPr>
      </w:pPr>
      <w:r>
        <w:t xml:space="preserve">Amount band — capex/opex threshold or bucketed ranges</w:t>
      </w:r>
    </w:p>
    <w:p>
      <w:pPr>
        <w:pStyle w:val="ListParagraph"/>
        <w:numPr>
          <w:ilvl w:val="0"/>
          <w:numId w:val="2"/>
        </w:numPr>
      </w:pPr>
      <w:r>
        <w:t xml:space="preserve">Currency</w:t>
      </w:r>
    </w:p>
    <w:p>
      <w:pPr>
        <w:pStyle w:val="ListParagraph"/>
        <w:numPr>
          <w:ilvl w:val="0"/>
          <w:numId w:val="2"/>
        </w:numPr>
      </w:pPr>
      <w:r>
        <w:t xml:space="preserve">Cost centre / department</w:t>
      </w:r>
    </w:p>
    <w:p/>
    <w:p>
      <w:r>
        <w:t xml:space="preserve">This ensures that similarity search operates only over a semantically relevant subset of the corpus. Cross-entity data leakage is eliminated at the filter layer, not the retrieval layer.</w:t>
      </w:r>
    </w:p>
    <w:p/>
    <w:p>
      <w:pPr>
        <w:pStyle w:val="Heading1"/>
      </w:pPr>
      <w:r>
        <w:t xml:space="preserve">4. Embedding Strategy</w:t>
      </w:r>
    </w:p>
    <w:p>
      <w:r>
        <w:rPr>
          <w:b/>
          <w:bCs/>
        </w:rPr>
        <w:t xml:space="preserve">Embed the description field only.</w:t>
      </w:r>
      <w:r>
        <w:t xml:space="preserve"> Vendor names and amounts are metadata — handled by pre-retrieval filters, not embeddings. Mixing them into the embedding pollutes the vector space and degrades similarity matching.</w:t>
      </w:r>
    </w:p>
    <w:p/>
    <w:p>
      <w:r>
        <w:t xml:space="preserve">Description preprocessing pipeline:</w:t>
      </w:r>
    </w:p>
    <w:p>
      <w:pPr>
        <w:pStyle w:val="ListParagraph"/>
        <w:numPr>
          <w:ilvl w:val="0"/>
          <w:numId w:val="2"/>
        </w:numPr>
      </w:pPr>
      <w:r>
        <w:t xml:space="preserve">Lowercase all text</w:t>
      </w:r>
    </w:p>
    <w:p>
      <w:pPr>
        <w:pStyle w:val="ListParagraph"/>
        <w:numPr>
          <w:ilvl w:val="0"/>
          <w:numId w:val="2"/>
        </w:numPr>
      </w:pPr>
      <w:r>
        <w:t xml:space="preserve">Strip PO reference numbers and invoice identifiers</w:t>
      </w:r>
    </w:p>
    <w:p>
      <w:pPr>
        <w:pStyle w:val="ListParagraph"/>
        <w:numPr>
          <w:ilvl w:val="0"/>
          <w:numId w:val="2"/>
        </w:numPr>
      </w:pPr>
      <w:r>
        <w:t xml:space="preserve">Normalise common abbreviations (e.g. "svcs" → "services", "maint" → "maintenance")</w:t>
      </w:r>
    </w:p>
    <w:p>
      <w:pPr>
        <w:pStyle w:val="ListParagraph"/>
        <w:numPr>
          <w:ilvl w:val="0"/>
          <w:numId w:val="2"/>
        </w:numPr>
      </w:pPr>
      <w:r>
        <w:t xml:space="preserve">Remove noise characters and excess whitespace</w:t>
      </w:r>
    </w:p>
    <w:p/>
    <w:p>
      <w:r>
        <w:t xml:space="preserve">Recommended model: </w:t>
      </w:r>
      <w:r>
        <w:rPr>
          <w:rFonts w:ascii="Courier New" w:cs="Courier New" w:eastAsia="Courier New" w:hAnsi="Courier New"/>
        </w:rPr>
        <w:t xml:space="preserve">text-embedding-3-small</w:t>
      </w:r>
      <w:r>
        <w:t xml:space="preserve"> (OpenAI). Sufficient for POC. If descriptions are extremely terse or domain-specific, a fine-tuned or domain-adapted embedding model should be evaluated in Phase 3.</w:t>
      </w:r>
    </w:p>
    <w:p/>
    <w:p>
      <w:pPr>
        <w:pStyle w:val="Heading1"/>
      </w:pPr>
      <w:r>
        <w:t xml:space="preserve">5. Ranked Retrieval</w:t>
      </w:r>
    </w:p>
    <w:p>
      <w:r>
        <w:t xml:space="preserve">Retrieve top-k (k=10) candidate lines, then re-rank before confidence scoring. Re-ranking applies three signals in order:</w:t>
      </w:r>
    </w:p>
    <w:p/>
    <w:p>
      <w:pPr>
        <w:pStyle w:val="Heading2"/>
      </w:pPr>
      <w:r>
        <w:t xml:space="preserve">5.1 Primary: Cosine Similarity Score</w:t>
      </w:r>
    </w:p>
    <w:p>
      <w:r>
        <w:t xml:space="preserve">The raw vector similarity score from the Qdrant search. Orders candidates by description similarity.</w:t>
      </w:r>
    </w:p>
    <w:p/>
    <w:p>
      <w:pPr>
        <w:pStyle w:val="Heading2"/>
      </w:pPr>
      <w:r>
        <w:t xml:space="preserve">5.2 Secondary: Recency Weighting</w:t>
      </w:r>
    </w:p>
    <w:p>
      <w:r>
        <w:t xml:space="preserve">More recently confirmed lines score higher. Vendor coding patterns evolve over time; a line confirmed last week is more reliable than one confirmed two years ago. Implemented as a time-decay multiplier applied to the similarity score.</w:t>
      </w:r>
    </w:p>
    <w:p/>
    <w:p>
      <w:pPr>
        <w:pStyle w:val="Heading2"/>
      </w:pPr>
      <w:r>
        <w:t xml:space="preserve">5.3 Tertiary: Frequency Weighting</w:t>
      </w:r>
    </w:p>
    <w:p>
      <w:r>
        <w:t xml:space="preserve">If the same GL code appears in 8 of 10 retrieved lines, that is a stronger signal than 4 of 10. Frequency weighting boosts candidates whose GL code has high agreement across the retrieved set.</w:t>
      </w:r>
    </w:p>
    <w:p/>
    <w:p>
      <w:pPr>
        <w:pStyle w:val="Heading1"/>
      </w:pPr>
      <w:r>
        <w:t xml:space="preserve">6. Confidence Scoring</w:t>
      </w:r>
    </w:p>
    <w:p>
      <w:r>
        <w:t xml:space="preserve">Confidence is derived from the retrieved evidence, not from the embedding model itself. Two signals are combined:</w:t>
      </w:r>
    </w:p>
    <w:p/>
    <w:p>
      <w:pPr>
        <w:pStyle w:val="ListParagraph"/>
        <w:numPr>
          <w:ilvl w:val="0"/>
          <w:numId w:val="2"/>
        </w:numPr>
      </w:pPr>
      <w:r>
        <w:t xml:space="preserve">Agreement ratio — what percentage of top-k lines share the same GL code</w:t>
      </w:r>
    </w:p>
    <w:p>
      <w:pPr>
        <w:pStyle w:val="ListParagraph"/>
        <w:numPr>
          <w:ilvl w:val="0"/>
          <w:numId w:val="2"/>
        </w:numPr>
      </w:pPr>
      <w:r>
        <w:t xml:space="preserve">Weighted agreement — agreement ratio × average similarity score of the agreeing lines</w:t>
      </w:r>
    </w:p>
    <w:p/>
    <w:p>
      <w:r>
        <w:t xml:space="preserve">Thresholds are set </w:t>
      </w:r>
      <w:r>
        <w:rPr>
          <w:b/>
          <w:bCs/>
        </w:rPr>
        <w:t xml:space="preserve">per vendor</w:t>
      </w:r>
      <w:r>
        <w:t xml:space="preserve">, not globally. High-volume vendors with stable patterns earn tighter auto-post gates faster than new or low-volume vendors. Per-vendor threshold calibration is updated as new confirmed outcomes accumulate.</w:t>
      </w:r>
    </w:p>
    <w:p/>
    <w:p>
      <w:r>
        <w:rPr>
          <w:b/>
          <w:bCs/>
        </w:rPr>
        <w:t xml:space="preserve">Sparse retrieval gate:</w:t>
      </w:r>
      <w:r>
        <w:t xml:space="preserve"> if fewer than 3 lines are retrieved, the invoice is always routed to human review regardless of confidence score. This is a hard rule, not a threshold.</w:t>
      </w:r>
    </w:p>
    <w:p/>
    <w:p>
      <w:pPr>
        <w:pStyle w:val="Heading1"/>
      </w:pPr>
      <w:r>
        <w:t xml:space="preserve">7. Hybrid Retrieval</w:t>
      </w:r>
    </w:p>
    <w:p>
      <w:r>
        <w:t xml:space="preserve">Hybrid retrieval is the single biggest quality improvement over dense-only retrieval. It combines two complementary search strategies:</w:t>
      </w:r>
    </w:p>
    <w:p/>
    <w:p>
      <w:pPr>
        <w:pStyle w:val="Heading2"/>
      </w:pPr>
      <w:r>
        <w:t xml:space="preserve">7.1 Dense Retrieval</w:t>
      </w:r>
    </w:p>
    <w:p>
      <w:r>
        <w:t xml:space="preserve">Embedding similarity search against the Qdrant vector store. Captures semantic similarity — "office consumables" matches "stationery and printer supplies" even without shared keywords.</w:t>
      </w:r>
    </w:p>
    <w:p/>
    <w:p>
      <w:pPr>
        <w:pStyle w:val="Heading2"/>
      </w:pPr>
      <w:r>
        <w:t xml:space="preserve">7.2 Sparse Retrieval (BM25)</w:t>
      </w:r>
    </w:p>
    <w:p>
      <w:r>
        <w:t xml:space="preserve">Keyword-based matching using BM25 scoring. Captures exact vendor terms, product codes, and domain-specific abbreviations that embeddings may miss or conflate.</w:t>
      </w:r>
    </w:p>
    <w:p/>
    <w:p>
      <w:pPr>
        <w:pStyle w:val="Heading2"/>
      </w:pPr>
      <w:r>
        <w:t xml:space="preserve">7.3 Score Fusion (Reciprocal Rank Fusion)</w:t>
      </w:r>
    </w:p>
    <w:p>
      <w:r>
        <w:t xml:space="preserve">Dense and sparse results are merged using Reciprocal Rank Fusion (RRF). RRF is simple, robust, and requires no training. Each result is scored as:</w:t>
      </w:r>
    </w:p>
    <w:p/>
    <w:p>
      <w:pPr>
        <w:jc w:val="center"/>
      </w:pPr>
      <w:r>
        <w:rPr>
          <w:rFonts w:ascii="Courier New" w:cs="Courier New" w:eastAsia="Courier New" w:hAnsi="Courier New"/>
        </w:rPr>
        <w:t xml:space="preserve">RRF score = 1 / (k + rank_dense) + 1 / (k + rank_sparse)</w:t>
      </w:r>
    </w:p>
    <w:p/>
    <w:p>
      <w:r>
        <w:t xml:space="preserve">Where k=60 is the standard RRF constant. The merged ranking is then passed to the re-ranking step.</w:t>
      </w:r>
    </w:p>
    <w:p/>
    <w:p>
      <w:pPr>
        <w:pStyle w:val="Heading1"/>
      </w:pPr>
      <w:r>
        <w:t xml:space="preserve">8. Write-Back Quality Controls</w:t>
      </w:r>
    </w:p>
    <w:p>
      <w:r>
        <w:t xml:space="preserve">Only confirmed outcomes enter the vector store. Shadow mode predictions are never written back. Each stored line is tagged with the following fields to enable future filtering, weighting, and audit:</w:t>
      </w:r>
    </w:p>
    <w:p/>
    <w:p>
      <w:pPr>
        <w:pStyle w:val="ListParagraph"/>
        <w:numPr>
          <w:ilvl w:val="0"/>
          <w:numId w:val="2"/>
        </w:numPr>
      </w:pPr>
      <w:r>
        <w:t xml:space="preserve">vendor_id — canonical ID from MDM</w:t>
      </w:r>
    </w:p>
    <w:p>
      <w:pPr>
        <w:pStyle w:val="ListParagraph"/>
        <w:numPr>
          <w:ilvl w:val="0"/>
          <w:numId w:val="2"/>
        </w:numPr>
      </w:pPr>
      <w:r>
        <w:t xml:space="preserve">entity_id — legal entity</w:t>
      </w:r>
    </w:p>
    <w:p>
      <w:pPr>
        <w:pStyle w:val="ListParagraph"/>
        <w:numPr>
          <w:ilvl w:val="0"/>
          <w:numId w:val="2"/>
        </w:numPr>
      </w:pPr>
      <w:r>
        <w:t xml:space="preserve">amount_band — bucketed amount range</w:t>
      </w:r>
    </w:p>
    <w:p>
      <w:pPr>
        <w:pStyle w:val="ListParagraph"/>
        <w:numPr>
          <w:ilvl w:val="0"/>
          <w:numId w:val="2"/>
        </w:numPr>
      </w:pPr>
      <w:r>
        <w:t xml:space="preserve">currency</w:t>
      </w:r>
    </w:p>
    <w:p>
      <w:pPr>
        <w:pStyle w:val="ListParagraph"/>
        <w:numPr>
          <w:ilvl w:val="0"/>
          <w:numId w:val="2"/>
        </w:numPr>
      </w:pPr>
      <w:r>
        <w:t xml:space="preserve">gl_account — the confirmed GL code</w:t>
      </w:r>
    </w:p>
    <w:p>
      <w:pPr>
        <w:pStyle w:val="ListParagraph"/>
        <w:numPr>
          <w:ilvl w:val="0"/>
          <w:numId w:val="2"/>
        </w:numPr>
      </w:pPr>
      <w:r>
        <w:t xml:space="preserve">cost_centre</w:t>
      </w:r>
    </w:p>
    <w:p>
      <w:pPr>
        <w:pStyle w:val="ListParagraph"/>
        <w:numPr>
          <w:ilvl w:val="0"/>
          <w:numId w:val="2"/>
        </w:numPr>
      </w:pPr>
      <w:r>
        <w:t xml:space="preserve">tax_code</w:t>
      </w:r>
    </w:p>
    <w:p>
      <w:pPr>
        <w:pStyle w:val="ListParagraph"/>
        <w:numPr>
          <w:ilvl w:val="0"/>
          <w:numId w:val="2"/>
        </w:numPr>
      </w:pPr>
      <w:r>
        <w:t xml:space="preserve">confirming_user_id — clerk or manager who confirmed</w:t>
      </w:r>
    </w:p>
    <w:p>
      <w:pPr>
        <w:pStyle w:val="ListParagraph"/>
        <w:numPr>
          <w:ilvl w:val="0"/>
          <w:numId w:val="2"/>
        </w:numPr>
      </w:pPr>
      <w:r>
        <w:t xml:space="preserve">confirmation_timestamp</w:t>
      </w:r>
    </w:p>
    <w:p>
      <w:pPr>
        <w:pStyle w:val="ListParagraph"/>
        <w:numPr>
          <w:ilvl w:val="0"/>
          <w:numId w:val="2"/>
        </w:numPr>
      </w:pPr>
      <w:r>
        <w:t xml:space="preserve">prediction_confidence — confidence score at time of prediction</w:t>
      </w:r>
    </w:p>
    <w:p>
      <w:pPr>
        <w:pStyle w:val="ListParagraph"/>
        <w:numPr>
          <w:ilvl w:val="0"/>
          <w:numId w:val="2"/>
        </w:numPr>
      </w:pPr>
      <w:r>
        <w:t xml:space="preserve">source — auto_post / human_confirm / human_correct</w:t>
      </w:r>
    </w:p>
    <w:p/>
    <w:p>
      <w:r>
        <w:t xml:space="preserve">The </w:t>
      </w:r>
      <w:r>
        <w:rPr>
          <w:rFonts w:ascii="Courier New" w:cs="Courier New" w:eastAsia="Courier New" w:hAnsi="Courier New"/>
        </w:rPr>
        <w:t xml:space="preserve">confirmation_timestamp</w:t>
      </w:r>
      <w:r>
        <w:t xml:space="preserve"> field enables time-decay weighting: older confirmed lines are down-weighted as vendor coding patterns evolve.</w:t>
      </w:r>
    </w:p>
    <w:p/>
    <w:p>
      <w:pPr>
        <w:pStyle w:val="Heading1"/>
      </w:pPr>
      <w:r>
        <w:t xml:space="preserve">9. Cold Start Handling</w:t>
      </w:r>
    </w:p>
    <w:p>
      <w:r>
        <w:t xml:space="preserve">When a new vendor has no history in the vector store, the retrieval layer falls through a defined hierarchy before routing to human review:</w:t>
      </w:r>
    </w:p>
    <w:p/>
    <w:p>
      <w:pPr>
        <w:pStyle w:val="ListParagraph"/>
        <w:numPr>
          <w:ilvl w:val="0"/>
          <w:numId w:val="2"/>
        </w:numPr>
      </w:pPr>
      <w:r>
        <w:t xml:space="preserve">Step 1: Attempt RAG retrieval — if fewer than 3 lines returned, proceed to step 2</w:t>
      </w:r>
    </w:p>
    <w:p>
      <w:pPr>
        <w:pStyle w:val="ListParagraph"/>
        <w:numPr>
          <w:ilvl w:val="0"/>
          <w:numId w:val="2"/>
        </w:numPr>
      </w:pPr>
      <w:r>
        <w:t xml:space="preserve">Step 2: Call vendor profile tool — what category is this vendor, what GL codes have they historically attracted</w:t>
      </w:r>
    </w:p>
    <w:p>
      <w:pPr>
        <w:pStyle w:val="ListParagraph"/>
        <w:numPr>
          <w:ilvl w:val="0"/>
          <w:numId w:val="2"/>
        </w:numPr>
      </w:pPr>
      <w:r>
        <w:t xml:space="preserve">Step 3: Call cost centre rules tool — any entity-level rules that apply regardless of vendor</w:t>
      </w:r>
    </w:p>
    <w:p>
      <w:pPr>
        <w:pStyle w:val="ListParagraph"/>
        <w:numPr>
          <w:ilvl w:val="0"/>
          <w:numId w:val="2"/>
        </w:numPr>
      </w:pPr>
      <w:r>
        <w:t xml:space="preserve">Step 4: If no signal from either tool — route to human review with reason code "insufficient evidence"</w:t>
      </w:r>
    </w:p>
    <w:p/>
    <w:p>
      <w:r>
        <w:t xml:space="preserve">The hard rule holds at every step: </w:t>
      </w:r>
      <w:r>
        <w:rPr>
          <w:b/>
          <w:bCs/>
        </w:rPr>
        <w:t xml:space="preserve">never auto-post with fewer than 3 retrieved lines.</w:t>
      </w:r>
      <w:r>
        <w:t xml:space="preserve"> Each confirmed cold-start line becomes evidence for the next invoice from the same vendor, so the corpus builds quickly.</w:t>
      </w:r>
    </w:p>
    <w:p/>
    <w:p>
      <w:pPr>
        <w:pStyle w:val="Heading1"/>
      </w:pPr>
      <w:r>
        <w:t xml:space="preserve">10. POC Implementation Notes</w:t>
      </w:r>
    </w:p>
    <w:p>
      <w:r>
        <w:t xml:space="preserve">The following simplifications apply to Phase 0 (POC) and will be upgraded in later phases:</w:t>
      </w:r>
    </w:p>
    <w:p/>
    <w:p>
      <w:pPr>
        <w:pStyle w:val="ListParagraph"/>
        <w:numPr>
          <w:ilvl w:val="0"/>
          <w:numId w:val="2"/>
        </w:numPr>
      </w:pPr>
      <w:r>
        <w:t xml:space="preserve">MDM — stubbed as a vendor → canonical ID dict (CSV lookup)</w:t>
      </w:r>
    </w:p>
    <w:p>
      <w:pPr>
        <w:pStyle w:val="ListParagraph"/>
        <w:numPr>
          <w:ilvl w:val="0"/>
          <w:numId w:val="2"/>
        </w:numPr>
      </w:pPr>
      <w:r>
        <w:t xml:space="preserve">Vendor profile tool and cost centre rules tool — stubbed; cold start routes directly to human review</w:t>
      </w:r>
    </w:p>
    <w:p>
      <w:pPr>
        <w:pStyle w:val="ListParagraph"/>
        <w:numPr>
          <w:ilvl w:val="0"/>
          <w:numId w:val="2"/>
        </w:numPr>
      </w:pPr>
      <w:r>
        <w:t xml:space="preserve">Agentic LLM orchestration — stubbed; confidence threshold decision replaces full tool-calling loop</w:t>
      </w:r>
    </w:p>
    <w:p>
      <w:pPr>
        <w:pStyle w:val="ListParagraph"/>
        <w:numPr>
          <w:ilvl w:val="0"/>
          <w:numId w:val="2"/>
        </w:numPr>
      </w:pPr>
      <w:r>
        <w:t xml:space="preserve">Cohere reranking — optional in POC; re-ranking implemented manually using cosine + recency + frequency signals</w:t>
      </w:r>
    </w:p>
    <w:p>
      <w:pPr>
        <w:pStyle w:val="ListParagraph"/>
        <w:numPr>
          <w:ilvl w:val="0"/>
          <w:numId w:val="2"/>
        </w:numPr>
      </w:pPr>
      <w:r>
        <w:t xml:space="preserve">Redis cache — not required at POC scale</w:t>
      </w:r>
    </w:p>
    <w:p/>
    <w:p>
      <w:r>
        <w:rPr>
          <w:b/>
          <w:bCs/>
        </w:rPr>
        <w:t xml:space="preserve">Hybrid retrieval (dense + BM25 + RRF) and re-ranking are not deferred.</w:t>
      </w:r>
      <w:r>
        <w:t xml:space="preserve"> These are the core mechanisms being proven in the POC and must be implemented in Phase 0.</w:t>
      </w:r>
    </w:p>
    <w:p/>
    <w:p>
      <w:pPr>
        <w:pStyle w:val="Heading1"/>
      </w:pPr>
      <w:r>
        <w:t xml:space="preserve">11. Performance Targets</w:t>
      </w:r>
    </w:p>
    <w:p>
      <w:pPr>
        <w:pStyle w:val="ListParagraph"/>
        <w:numPr>
          <w:ilvl w:val="0"/>
          <w:numId w:val="2"/>
        </w:numPr>
      </w:pPr>
      <w:r>
        <w:t xml:space="preserve">Top-3 retrieved lines contain correct GL code: ≥85% of queries</w:t>
      </w:r>
    </w:p>
    <w:p>
      <w:pPr>
        <w:pStyle w:val="ListParagraph"/>
        <w:numPr>
          <w:ilvl w:val="0"/>
          <w:numId w:val="2"/>
        </w:numPr>
      </w:pPr>
      <w:r>
        <w:t xml:space="preserve">Single retrieval latency: &lt;100ms (Qdrant local)</w:t>
      </w:r>
    </w:p>
    <w:p>
      <w:pPr>
        <w:pStyle w:val="ListParagraph"/>
        <w:numPr>
          <w:ilvl w:val="0"/>
          <w:numId w:val="2"/>
        </w:numPr>
      </w:pPr>
      <w:r>
        <w:t xml:space="preserve">Routine invoice accuracy: ≥90%</w:t>
      </w:r>
    </w:p>
    <w:p>
      <w:pPr>
        <w:pStyle w:val="ListParagraph"/>
        <w:numPr>
          <w:ilvl w:val="0"/>
          <w:numId w:val="2"/>
        </w:numPr>
      </w:pPr>
      <w:r>
        <w:t xml:space="preserve">Near-edge invoice accuracy: ≥75%</w:t>
      </w:r>
    </w:p>
    <w:p>
      <w:pPr>
        <w:pStyle w:val="ListParagraph"/>
        <w:numPr>
          <w:ilvl w:val="0"/>
          <w:numId w:val="2"/>
        </w:numPr>
      </w:pPr>
      <w:r>
        <w:t xml:space="preserve">Automation rate at batch start: ≥70% straight-through</w:t>
      </w:r>
    </w:p>
    <w:p>
      <w:pPr>
        <w:pStyle w:val="ListParagraph"/>
        <w:numPr>
          <w:ilvl w:val="0"/>
          <w:numId w:val="2"/>
        </w:numPr>
      </w:pPr>
      <w:r>
        <w:t xml:space="preserve">Automation rate at batch end (post write-back): ≥85% straight-through</w:t>
      </w:r>
    </w:p>
    <w:p>
      <w:pPr>
        <w:pStyle w:val="ListParagraph"/>
        <w:numPr>
          <w:ilvl w:val="0"/>
          <w:numId w:val="2"/>
        </w:numPr>
      </w:pPr>
      <w:r>
        <w:t xml:space="preserve">High-confidence predictions correct: ≥95%</w:t>
      </w:r>
    </w:p>
    <w:p>
      <w:pPr>
        <w:pStyle w:val="ListParagraph"/>
        <w:numPr>
          <w:ilvl w:val="0"/>
          <w:numId w:val="2"/>
        </w:numPr>
      </w:pPr>
      <w:r>
        <w:t xml:space="preserve">Low-confidence predictions (routed to review) still correct: ≥60%</w:t>
      </w:r>
    </w:p>
    <w:p/>
    <w:p>
      <w:pPr>
        <w:pStyle w:val="Heading1"/>
      </w:pPr>
      <w:r>
        <w:t xml:space="preserve">12. Suggested Build Order</w:t>
      </w:r>
    </w:p>
    <w:p>
      <w:r>
        <w:t xml:space="preserve">Recommended sequence for implementing the retrieval module:</w:t>
      </w:r>
    </w:p>
    <w:p/>
    <w:p>
      <w:pPr>
        <w:pStyle w:val="ListParagraph"/>
        <w:numPr>
          <w:ilvl w:val="0"/>
          <w:numId w:val="2"/>
        </w:numPr>
      </w:pPr>
      <w:r>
        <w:t xml:space="preserve">Step 1: Generate synthetic dataset (700 routine / 200 near-edge / 100 hard-edge invoices with ground-truth GL codes)</w:t>
      </w:r>
    </w:p>
    <w:p>
      <w:pPr>
        <w:pStyle w:val="ListParagraph"/>
        <w:numPr>
          <w:ilvl w:val="0"/>
          <w:numId w:val="2"/>
        </w:numPr>
      </w:pPr>
      <w:r>
        <w:t xml:space="preserve">Step 2: Build MDM stub (vendor → canonical ID CSV lookup)</w:t>
      </w:r>
    </w:p>
    <w:p>
      <w:pPr>
        <w:pStyle w:val="ListParagraph"/>
        <w:numPr>
          <w:ilvl w:val="0"/>
          <w:numId w:val="2"/>
        </w:numPr>
      </w:pPr>
      <w:r>
        <w:t xml:space="preserve">Step 3: Build description preprocessing pipeline (lowercase, strip PO refs, normalise abbreviations)</w:t>
      </w:r>
    </w:p>
    <w:p>
      <w:pPr>
        <w:pStyle w:val="ListParagraph"/>
        <w:numPr>
          <w:ilvl w:val="0"/>
          <w:numId w:val="2"/>
        </w:numPr>
      </w:pPr>
      <w:r>
        <w:t xml:space="preserve">Step 4: Embed descriptions using text-embedding-3-small; index into Qdrant with metadata fields</w:t>
      </w:r>
    </w:p>
    <w:p>
      <w:pPr>
        <w:pStyle w:val="ListParagraph"/>
        <w:numPr>
          <w:ilvl w:val="0"/>
          <w:numId w:val="2"/>
        </w:numPr>
      </w:pPr>
      <w:r>
        <w:t xml:space="preserve">Step 5: Build dense retrieval with metadata pre-filtering</w:t>
      </w:r>
    </w:p>
    <w:p>
      <w:pPr>
        <w:pStyle w:val="ListParagraph"/>
        <w:numPr>
          <w:ilvl w:val="0"/>
          <w:numId w:val="2"/>
        </w:numPr>
      </w:pPr>
      <w:r>
        <w:t xml:space="preserve">Step 6: Build BM25 sparse retrieval over description field</w:t>
      </w:r>
    </w:p>
    <w:p>
      <w:pPr>
        <w:pStyle w:val="ListParagraph"/>
        <w:numPr>
          <w:ilvl w:val="0"/>
          <w:numId w:val="2"/>
        </w:numPr>
      </w:pPr>
      <w:r>
        <w:t xml:space="preserve">Step 7: Implement RRF score fusion</w:t>
      </w:r>
    </w:p>
    <w:p>
      <w:pPr>
        <w:pStyle w:val="ListParagraph"/>
        <w:numPr>
          <w:ilvl w:val="0"/>
          <w:numId w:val="2"/>
        </w:numPr>
      </w:pPr>
      <w:r>
        <w:t xml:space="preserve">Step 8: Implement re-ranking (cosine primary, recency secondary, frequency tertiary)</w:t>
      </w:r>
    </w:p>
    <w:p>
      <w:pPr>
        <w:pStyle w:val="ListParagraph"/>
        <w:numPr>
          <w:ilvl w:val="0"/>
          <w:numId w:val="2"/>
        </w:numPr>
      </w:pPr>
      <w:r>
        <w:t xml:space="preserve">Step 9: Implement confidence scoring (agreement ratio + weighted agreement)</w:t>
      </w:r>
    </w:p>
    <w:p>
      <w:pPr>
        <w:pStyle w:val="ListParagraph"/>
        <w:numPr>
          <w:ilvl w:val="0"/>
          <w:numId w:val="2"/>
        </w:numPr>
      </w:pPr>
      <w:r>
        <w:t xml:space="preserve">Step 10: Implement confidence gate and sparse retrieval gate (&lt;3 lines → always review)</w:t>
      </w:r>
    </w:p>
    <w:p>
      <w:pPr>
        <w:pStyle w:val="ListParagraph"/>
        <w:numPr>
          <w:ilvl w:val="0"/>
          <w:numId w:val="2"/>
        </w:numPr>
      </w:pPr>
      <w:r>
        <w:t xml:space="preserve">Step 11: Implement write-back loop with full metadata tagging</w:t>
      </w:r>
    </w:p>
    <w:p>
      <w:pPr>
        <w:pStyle w:val="ListParagraph"/>
        <w:numPr>
          <w:ilvl w:val="0"/>
          <w:numId w:val="2"/>
        </w:numPr>
      </w:pPr>
      <w:r>
        <w:t xml:space="preserve">Step 12: Run 1,000-invoice batch; capture metrics; produce before/after automation rate chart</w:t>
      </w:r>
    </w:p>
    <w:p>
      <w:pPr>
        <w:pStyle w:val="ListParagraph"/>
        <w:numPr>
          <w:ilvl w:val="0"/>
          <w:numId w:val="2"/>
        </w:numPr>
      </w:pPr>
      <w:r>
        <w:t xml:space="preserve">Step 13: Build Streamlit UI for shareable hosted demo</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2026-09-29T07:24:51.385Z</dcterms:created>
  <dcterms:modified xsi:type="dcterms:W3CDTF">2026-09-29T07:24:51.385Z</dcterms:modified>
</cp:coreProperties>
</file>

<file path=docProps/custom.xml><?xml version="1.0" encoding="utf-8"?>
<Properties xmlns="http://schemas.openxmlformats.org/officeDocument/2006/custom-properties" xmlns:vt="http://schemas.openxmlformats.org/officeDocument/2006/docPropsVTypes"/>
</file>