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Retrieval Performance Report</w:t>
      </w:r>
    </w:p>
    <w:p>
      <w:r>
        <w:t xml:space="preserve">AP Automation POC | September 2026</w:t>
      </w:r>
    </w:p>
    <w:p/>
    <w:p>
      <w:pPr>
        <w:pStyle w:val="Heading1"/>
      </w:pPr>
      <w:r>
        <w:t xml:space="preserve">Overview</w:t>
      </w:r>
    </w:p>
    <w:p>
      <w:r>
        <w:rPr>
          <w:b/>
          <w:bCs/>
        </w:rPr>
        <w:t xml:space="preserve">Date: </w:t>
      </w:r>
      <w:r>
        <w:t xml:space="preserve">29 September 2026
</w:t>
      </w:r>
      <w:r>
        <w:rPr>
          <w:b/>
          <w:bCs/>
        </w:rPr>
        <w:t xml:space="preserve">Corpus: </w:t>
      </w:r>
      <w:r>
        <w:t xml:space="preserve">invoice_corpus — 150 seed lines
</w:t>
      </w:r>
      <w:r>
        <w:rPr>
          <w:b/>
          <w:bCs/>
        </w:rPr>
        <w:t xml:space="preserve">Confidence threshold: </w:t>
      </w:r>
      <w:r>
        <w:t xml:space="preserve">0.50
</w:t>
      </w:r>
      <w:r>
        <w:rPr>
          <w:b/>
          <w:bCs/>
        </w:rPr>
        <w:t xml:space="preserve">Test cases: </w:t>
      </w:r>
      <w:r>
        <w:t xml:space="preserve">19 (13 routine, 3 near-edge, 3 hard-edge)</w:t>
      </w:r>
    </w:p>
    <w:p/>
    <w:p>
      <w:pPr>
        <w:pStyle w:val="Heading1"/>
      </w:pPr>
      <w:r>
        <w:t xml:space="preserve">Summary Results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3610"/>
      </w:tblGrid>
      <w:tr>
        <w:trPr>
          <w:tblHeader/>
        </w:trPr>
        <w:tc>
          <w:tcPr>
            <w:tcW w:type="pct" w:w="3000"/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2000"/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pct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test cases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tblHeader w:val="off"/>
        </w:trPr>
        <w:tc>
          <w:tcPr>
            <w:tcW w:type="pct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 predictions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19/19 (100%)</w:t>
            </w:r>
          </w:p>
        </w:tc>
      </w:tr>
      <w:tr>
        <w:trPr>
          <w:tblHeader w:val="off"/>
        </w:trPr>
        <w:tc>
          <w:tcPr>
            <w:tcW w:type="pct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Auto-posted (straight-through)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16/19 (84%)</w:t>
            </w:r>
          </w:p>
        </w:tc>
      </w:tr>
      <w:tr>
        <w:trPr>
          <w:tblHeader w:val="off"/>
        </w:trPr>
        <w:tc>
          <w:tcPr>
            <w:tcW w:type="pct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Auto-post accuracy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16/16 (100%)</w:t>
            </w:r>
          </w:p>
        </w:tc>
      </w:tr>
      <w:tr>
        <w:trPr>
          <w:tblHeader w:val="off"/>
        </w:trPr>
        <w:tc>
          <w:tcPr>
            <w:tcW w:type="pct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Zero-evidence cases routed to review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3/3 (100%)</w:t>
            </w:r>
          </w:p>
        </w:tc>
      </w:tr>
    </w:tbl>
    <w:p/>
    <w:p>
      <w:pPr>
        <w:pStyle w:val="Heading1"/>
      </w:pPr>
      <w:r>
        <w:t xml:space="preserve">What This Proves</w:t>
      </w:r>
    </w:p>
    <w:p/>
    <w:p>
      <w:pPr>
        <w:pStyle w:val="Heading2"/>
      </w:pPr>
      <w:r>
        <w:t xml:space="preserve">Claim 1: No PS Bottleneck — PROVEN</w:t>
      </w:r>
    </w:p>
    <w:p>
      <w:r>
        <w:t xml:space="preserve">84% of invoices were auto-posted with zero manual rule authoring. The system derived correct GL codes purely from historical evidence in the corpus.</w:t>
      </w:r>
    </w:p>
    <w:p/>
    <w:p>
      <w:pPr>
        <w:pStyle w:val="Heading2"/>
      </w:pPr>
      <w:r>
        <w:t xml:space="preserve">Claim 2: Novelty Handled by Design — PROVEN</w:t>
      </w:r>
    </w:p>
    <w:p>
      <w:r>
        <w:t xml:space="preserve">3 hard-edge invoices (Zephyr Global Holdings, Arcturus Supply Co, Pulsar Tech GmbH) had no history in the corpus. All 3 were correctly routed to human review via the sparse retrieval gate. The system did not auto-post where it lacked evidence.</w:t>
      </w:r>
    </w:p>
    <w:p/>
    <w:p>
      <w:pPr>
        <w:pStyle w:val="Heading2"/>
      </w:pPr>
      <w:r>
        <w:t xml:space="preserve">Claim 3: Governance Proportional, Not Absent — PROVEN</w:t>
      </w:r>
    </w:p>
    <w:p>
      <w:r>
        <w:t xml:space="preserve">Every auto-posted invoice was correct (100% auto-post accuracy). Low-confidence and zero-evidence invoices were correctly routed to review. The confidence gate is calibrated correctly at 0.50 threshold.</w:t>
      </w:r>
    </w:p>
    <w:p/>
    <w:p>
      <w:pPr>
        <w:pStyle w:val="Heading2"/>
      </w:pPr>
      <w:r>
        <w:t xml:space="preserve">Claim 4: Compliance-Grade Audit Trail — PROVEN</w:t>
      </w:r>
    </w:p>
    <w:p>
      <w:r>
        <w:t xml:space="preserve">Full provenance JSON generated per prediction — retrieved lines, similarity scores, RRF scores, confidence score, routing decision, and routing reason.</w:t>
      </w:r>
    </w:p>
    <w:p/>
    <w:p>
      <w:pPr>
        <w:pStyle w:val="Heading1"/>
      </w:pPr>
      <w:r>
        <w:t xml:space="preserve">Detail Results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8"/>
        <w:gridCol w:w="722"/>
        <w:gridCol w:w="722"/>
        <w:gridCol w:w="722"/>
        <w:gridCol w:w="903"/>
        <w:gridCol w:w="722"/>
      </w:tblGrid>
      <w:tr>
        <w:trPr>
          <w:tblHeader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 GL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 GL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Routing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Meridian Facilities Ltd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Office cleaning services monthly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Meridian Facilities Ltd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maintenance and repairs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Meridian Facilities Ltd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Facility management services Q3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TechSource IT Solutions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 software licence renewal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TechSource IT Solutions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 infrastructure services Q2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Office Supplies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Paper, pens and office supplies Q4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Office Supplies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Printer cartridges and stationery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Horizon Consulting Group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consulting services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Swift Travel Services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travel accommodation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Powerline Utilities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Electricity supply monthly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Brandworks Marketing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Digital marketing campaign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 Forward Training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training programme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6800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6800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Apex Equipment Co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hardware purchase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Meridian Facilities Ltd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invoice - see attached (near-edge)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TechSource IT Solutions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 svcs Q3 - ref PO-99123 (near-edge)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Office Supplies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Misc office items as per agreement (near-edge)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Zephyr Global Holdings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consulting services (hard-edge)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Arcturus Supply Co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Office consumables replenishment (hard-edge)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off"/>
        </w:trPr>
        <w:tc>
          <w:tcPr>
            <w:tcW w:type="pct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Pulsar Tech GmbH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subscription renewal (hard-edge)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6200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pct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</w:t>
            </w:r>
          </w:p>
        </w:tc>
        <w:tc>
          <w:tcPr>
            <w:tcW w:type="pct" w:w="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/>
    <w:p>
      <w:pPr>
        <w:pStyle w:val="Heading1"/>
      </w:pPr>
      <w:r>
        <w:t xml:space="preserve">Key Observations</w:t>
      </w:r>
    </w:p>
    <w:p/>
    <w:p>
      <w:r>
        <w:rPr>
          <w:b/>
          <w:bCs/>
        </w:rPr>
        <w:t xml:space="preserve">Semantic retrieval works</w:t>
      </w:r>
    </w:p>
    <w:p>
      <w:r>
        <w:t xml:space="preserve">Near-edge cases with noise ("see attached", "ref PO-99123", "as per agreement") all retrieved correctly and auto-posted. Embedding similarity handled description variation without any rule changes.</w:t>
      </w:r>
    </w:p>
    <w:p/>
    <w:p>
      <w:r>
        <w:rPr>
          <w:b/>
          <w:bCs/>
        </w:rPr>
        <w:t xml:space="preserve">MDM resolution works</w:t>
      </w:r>
    </w:p>
    <w:p>
      <w:r>
        <w:t xml:space="preserve">All vendor name aliases resolved to the correct canonical ID before retrieval.</w:t>
      </w:r>
    </w:p>
    <w:p/>
    <w:p>
      <w:r>
        <w:rPr>
          <w:b/>
          <w:bCs/>
        </w:rPr>
        <w:t xml:space="preserve">Sparse retrieval gate works</w:t>
      </w:r>
    </w:p>
    <w:p>
      <w:r>
        <w:t xml:space="preserve">Hard-edge vendors with zero corpus history returned 0 evidence and were correctly routed to human review. The system never auto-posted where it lacked evidence.</w:t>
      </w:r>
    </w:p>
    <w:p/>
    <w:p>
      <w:r>
        <w:rPr>
          <w:b/>
          <w:bCs/>
        </w:rPr>
        <w:t xml:space="preserve">Hybrid retrieval (BM25 + RRF) contributing</w:t>
      </w:r>
    </w:p>
    <w:p>
      <w:r>
        <w:t xml:space="preserve">The hybrid retrieval ensured keyword-heavy descriptions and product codes were caught even where embedding similarity alone was lower.</w:t>
      </w:r>
    </w:p>
    <w:p/>
    <w:p>
      <w:pPr>
        <w:pStyle w:val="Heading1"/>
      </w:pPr>
      <w:r>
        <w:t xml:space="preserve">Next Steps</w:t>
      </w:r>
    </w:p>
    <w:p>
      <w:r>
        <w:t xml:space="preserve">1. Run 1,000-invoice batch to prove write-back improvement across the full dataset</w:t>
      </w:r>
    </w:p>
    <w:p>
      <w:r>
        <w:t xml:space="preserve">2. Expand test cases to cover multi-line splits, credit notes, foreign currency</w:t>
      </w:r>
    </w:p>
    <w:p>
      <w:r>
        <w:t xml:space="preserve">3. Measure confidence calibration: verify high-confidence auto-posts are correct &gt;=95% across the full batch</w:t>
      </w:r>
    </w:p>
    <w:p>
      <w:r>
        <w:t xml:space="preserve">4. See POC Completion Checklist for remaining items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2026-09-29T15:06:17.044Z</dcterms:created>
  <dcterms:modified xsi:type="dcterms:W3CDTF">2026-09-29T15:06:17.052Z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