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E78"/>
          <w:sz w:val="40"/>
        </w:rPr>
        <w:t>Solution Architecture Strawman</w:t>
      </w:r>
    </w:p>
    <w:p>
      <w:pPr>
        <w:spacing w:after="120"/>
      </w:pPr>
      <w:r>
        <w:rPr>
          <w:rFonts w:ascii="Calibri" w:hAnsi="Calibri"/>
          <w:b w:val="0"/>
          <w:i/>
          <w:sz w:val="18"/>
        </w:rPr>
        <w:t>Discussion Document for Springtime Workshop | September 2026</w:t>
      </w:r>
    </w:p>
    <w:p>
      <w:pPr>
        <w:spacing w:after="120"/>
      </w:pPr>
      <w:r>
        <w:rPr>
          <w:rFonts w:ascii="Calibri" w:hAnsi="Calibri"/>
          <w:b/>
          <w:i/>
          <w:sz w:val="18"/>
        </w:rPr>
        <w:t>This is a strawman for discussion, not a final specification.</w:t>
      </w:r>
    </w:p>
    <w:p/>
    <w:p>
      <w:pPr>
        <w:pStyle w:val="Heading1"/>
      </w:pPr>
      <w:r>
        <w:rPr>
          <w:rFonts w:ascii="Calibri" w:hAnsi="Calibri"/>
        </w:rPr>
        <w:t>1. Purpose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document presents a high-level architectural proposal for the automated non-PO invoice coding system. It is intended as a starting point for the Day 1 design workshop. Every component, interface, and decision point is open for challenge, refinement, or replacement based on the existing codebase, operational constraints, and client needs.</w:t>
      </w:r>
    </w:p>
    <w:p>
      <w:pPr>
        <w:pStyle w:val="Heading1"/>
      </w:pPr>
      <w:r>
        <w:rPr>
          <w:rFonts w:ascii="Calibri" w:hAnsi="Calibri"/>
        </w:rPr>
        <w:t>2. Guiding Principles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Separation of concerns: each component has one job and one job only.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Progressive enhancement: the system adds value in shadow mode before it ever posts an invoice.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Graceful degradation: if any component fails, the invoice is never lost; it routes to review or falls back to the existing deterministic engine.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Audit by design: every decision is traceable to its inputs, not bolted on afterwards.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No big-bang migration: clients move vendor by vendor, category by category, with measurable proof at each step.</w:t>
      </w:r>
    </w:p>
    <w:p>
      <w:pPr>
        <w:pStyle w:val="Heading1"/>
      </w:pPr>
      <w:r>
        <w:rPr>
          <w:rFonts w:ascii="Calibri" w:hAnsi="Calibri"/>
        </w:rPr>
        <w:t>3. Component Overview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architecture consists of four logical layers: ingestion, resolution, prediction, and feedback. Each layer is composed of discrete services that communicate via well-defined interfaces.</w:t>
      </w:r>
    </w:p>
    <w:p>
      <w:pPr>
        <w:pStyle w:val="Heading2"/>
      </w:pPr>
      <w:r>
        <w:rPr>
          <w:rFonts w:ascii="Calibri" w:hAnsi="Calibri"/>
        </w:rPr>
        <w:t>3.1 Ingestion Layer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Receives structured invoice data from the existing extraction pipeline. No changes to OCR or extraction.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Invoice Receiver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Accepts structured invoice data from existing pipeline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HTTP POST from Endpoint Gateway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Line Splitter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Breaks multi-line invoices into individual coding requests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Internal function call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Data Validator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Checks for missing vendor, amount, or description; routes invalid items to review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Internal function call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3.2 Resolution Layer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Resolves raw invoice data to canonical identities before prediction.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MDM 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Fuzzy-matches vendor names to canonical vendor IDs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HTTP GET /resolve-vendor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Entity Resolver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Ensures the invoice is processed within the correct legal entity boundary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Internal function call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Currency Normalizer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Converts amounts to base currency for consistent retrieval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Internal function call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3.3 Prediction Layer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core of the system. Retrieves evidence, evaluates agreement, and decides routing.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RAG Retrieval 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Queries the vector store for historically coded lines similar to the current invoice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HTTP POST /retrieve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Agreement Evaluator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Checks whether retrieved chunks agree on coding; assigns confidence score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Internal function call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Policy Gate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Applies hard business rules (amount limits, mandatory review flags) that override model confidence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Internal function call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Reasoning Service (LLM)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Invoked only for ambiguous cases or conversational input; synthesizes conflicting evidence or parses natural language rules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HTTP POST /reason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Router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Decides: auto-post, human review, or call deterministic engine fallback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Internal function call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3.4 Feedback Layer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Captures confirmed outcomes and enriches the corpus for future predictions.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Confirmation Capture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Records the final coding outcome (auto-posted or corrected)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Internal event listener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Write-Back Queue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Asynchronously indexes confirmed outcomes into the vector store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Background worker / message queue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Conversational Parser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Converts natural language input from staff into structured rules for indexing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HTTP POST /parse-conversation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Drift Monitor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Detects when vendor patterns shift and temporarily lowers automation confidence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Calibri" w:hAnsi="Calibri"/>
                <w:sz w:val="18"/>
              </w:rPr>
              <w:t>Scheduled job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4. Data Flow: Happy Path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1. Invoice arrives via Endpoint Gateway and is stored in the Document Store.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2. Extraction pipeline produces structured line data (vendor, description, amount, entity).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3. Middleware receives the structured data and calls MDM to resolve the vendor.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4. Middleware embeds the line description and queries the RAG Retrieval Service.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5. RAG returns top-K historically coded lines with similarity scores.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6. Agreement Evaluator checks consensus among retrieved lines.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7. If strong agreement and high confidence: Policy Gate checks amount limits. If passed, invoice auto-posts to ERP.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8. If weak agreement or low confidence: invoice routes to human review queue.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9. AP clerk confirms or corrects the coding.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10. Confirmed outcome is captured and queued for asynchronous write-back to the vector store.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11. Next similar invoice retrieves the newly confirmed line as evidence.</w:t>
      </w:r>
    </w:p>
    <w:p>
      <w:pPr>
        <w:pStyle w:val="Heading1"/>
      </w:pPr>
      <w:r>
        <w:rPr>
          <w:rFonts w:ascii="Calibri" w:hAnsi="Calibri"/>
        </w:rPr>
        <w:t>5. Data Flow: Ambiguous Case (LLM Invoked)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Steps 1 through 6 are identical.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7. Agreement Evaluator detects weak agreement or conflicting evidence.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8. Router invokes Reasoning Service (LLM) with the invoice data, retrieved evidence, and any active conversational rules.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9. LLM synthesizes the conflict, applies conversational overrides, and produces a recommendation with explanation.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10. Because the case is ambiguous, the router always sends it to human review (LLM does not auto-post).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11. AP clerk sees the LLM recommendation and explanation, confirms or corrects.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12. Confirmed outcome and the conversational rule (if any) are indexed into the vector store.</w:t>
      </w:r>
    </w:p>
    <w:p>
      <w:pPr>
        <w:pStyle w:val="Heading1"/>
      </w:pPr>
      <w:r>
        <w:rPr>
          <w:rFonts w:ascii="Calibri" w:hAnsi="Calibri"/>
        </w:rPr>
        <w:t>6. Data Flow: Shadow Mode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1. Invoice arrives and is processed through steps 1 through 6 as normal.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2. Router logs the prediction and what it would have decided, but does not post to ERP.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3. The existing deterministic engine processes the invoice and posts the coding as usual.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4. At end of day, a comparison job calculates: agreement rate, confidence calibration, and accuracy per vendor category.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5. Results are published to the operations dashboard.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6. No write-back occurs in shadow mode; the corpus is not modified by shadow predictions.</w:t>
      </w:r>
    </w:p>
    <w:p>
      <w:pPr>
        <w:pStyle w:val="Heading1"/>
      </w:pPr>
      <w:r>
        <w:rPr>
          <w:rFonts w:ascii="Calibri" w:hAnsi="Calibri"/>
        </w:rPr>
        <w:t>7. Open Questions for Workshop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following questions must be resolved during the design session to finalize the architecture.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Does the existing deterministic engine expose an API, or is it embedded in the monolith? This determines fallback feasibility.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Is the existing PostgreSQL instance capable of hosting pgvector, or do we need a separate vector database?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What is the current latency target for invoice processing? Does 2 seconds align with operational needs?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How is tenant isolation enforced today? Row-level security, separate schemas, or separate databases?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Does the existing system capture human corrections today, or do corrections happen entirely in the client ERP?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What is the volume of non-PO invoices per hour at peak? This drives scaling assumptions.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Which LLM provider is preferred, and what are the budget constraints?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What is the exact data retention policy per jurisdiction? This affects trace storage design.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Who owns the go-live decision for each client segment? Is it Springtime, the client, or both?</w:t>
      </w:r>
    </w:p>
    <w:p>
      <w:pPr>
        <w:pStyle w:val="Heading1"/>
      </w:pPr>
      <w:r>
        <w:rPr>
          <w:rFonts w:ascii="Calibri" w:hAnsi="Calibri"/>
        </w:rPr>
        <w:t>8. Interface Contracts (Draft)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These are draft contracts for discussion. They will be refined after the code deep dive on Day 2.</w:t>
      </w:r>
    </w:p>
    <w:p>
      <w:pPr>
        <w:pStyle w:val="Heading2"/>
      </w:pPr>
      <w:r>
        <w:rPr>
          <w:rFonts w:ascii="Calibri" w:hAnsi="Calibri"/>
        </w:rPr>
        <w:t>8.1 MDM Service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Request: { raw_vendor_name, entity_id, invoice_date }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Response: { canonical_vendor_id, match_confidence, aliases_matched }</w:t>
      </w:r>
    </w:p>
    <w:p>
      <w:pPr>
        <w:pStyle w:val="Heading2"/>
      </w:pPr>
      <w:r>
        <w:rPr>
          <w:rFonts w:ascii="Calibri" w:hAnsi="Calibri"/>
        </w:rPr>
        <w:t>8.2 RAG Retrieval Service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Request: { canonical_vendor_id, description_embedding, amount, entity_id, top_k }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Response: { results: [{ invoice_id, line_id, description, amount, gl_account, cost_centre, tax_code, similarity_score }] }</w:t>
      </w:r>
    </w:p>
    <w:p>
      <w:pPr>
        <w:pStyle w:val="Heading2"/>
      </w:pPr>
      <w:r>
        <w:rPr>
          <w:rFonts w:ascii="Calibri" w:hAnsi="Calibri"/>
        </w:rPr>
        <w:t>8.3 Reasoning Service (LLM)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Request: { invoice_data, retrieved_evidence, conversational_rules, ambiguity_type }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Response: { recommended_coding, reasoning_text, confidence_override, suggested_follow_up_question }</w:t>
      </w:r>
    </w:p>
    <w:p>
      <w:pPr>
        <w:pStyle w:val="Heading2"/>
      </w:pPr>
      <w:r>
        <w:rPr>
          <w:rFonts w:ascii="Calibri" w:hAnsi="Calibri"/>
        </w:rPr>
        <w:t>8.4 Router / Middleware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Request: { invoice_id, line_items: [{ description, amount, vendor_id }] }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Response: { predictions: [{ line_id, gl_account, cost_centre, tax_code, confidence, routing_decision, trace_id }]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