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— Invoice Data Standardisation</w:t>
      </w:r>
    </w:p>
    <w:p>
      <w:r>
        <w:t xml:space="preserve">How raw invoice data from any source format is transformed into a consistent, validated, enriched record ready for the RAG prediction pipeline.</w:t>
      </w:r>
    </w:p>
    <w:p>
      <w:r>
        <w:t xml:space="preserve">September 2026</w:t>
      </w:r>
    </w:p>
    <w:p/>
    <w:p>
      <w:pPr>
        <w:pStyle w:val="Heading1"/>
      </w:pPr>
      <w:r>
        <w:t xml:space="preserve">1. The Problem</w:t>
      </w:r>
    </w:p>
    <w:p>
      <w:r>
        <w:t xml:space="preserve">Real invoices arrive in dozens of formats:</w:t>
      </w:r>
    </w:p>
    <w:p/>
    <w:p>
      <w:pPr>
        <w:pStyle w:val="ListParagraph"/>
        <w:numPr>
          <w:ilvl w:val="0"/>
          <w:numId w:val="2"/>
        </w:numPr>
      </w:pPr>
      <w:r>
        <w:t xml:space="preserve">Scanned PDFs (sometimes poor quality)</w:t>
      </w:r>
    </w:p>
    <w:p>
      <w:pPr>
        <w:pStyle w:val="ListParagraph"/>
        <w:numPr>
          <w:ilvl w:val="0"/>
          <w:numId w:val="2"/>
        </w:numPr>
      </w:pPr>
      <w:r>
        <w:t xml:space="preserve">Structured e-invoices (XML, UBL, EDIFACT)</w:t>
      </w:r>
    </w:p>
    <w:p>
      <w:pPr>
        <w:pStyle w:val="ListParagraph"/>
        <w:numPr>
          <w:ilvl w:val="0"/>
          <w:numId w:val="2"/>
        </w:numPr>
      </w:pPr>
      <w:r>
        <w:t xml:space="preserve">Email attachments (Word, Excel, PDF)</w:t>
      </w:r>
    </w:p>
    <w:p>
      <w:pPr>
        <w:pStyle w:val="ListParagraph"/>
        <w:numPr>
          <w:ilvl w:val="0"/>
          <w:numId w:val="2"/>
        </w:numPr>
      </w:pPr>
      <w:r>
        <w:t xml:space="preserve">Portal uploads</w:t>
      </w:r>
    </w:p>
    <w:p>
      <w:pPr>
        <w:pStyle w:val="ListParagraph"/>
        <w:numPr>
          <w:ilvl w:val="0"/>
          <w:numId w:val="2"/>
        </w:numPr>
      </w:pPr>
      <w:r>
        <w:t xml:space="preserve">EDI feeds from large suppliers</w:t>
      </w:r>
    </w:p>
    <w:p>
      <w:pPr>
        <w:pStyle w:val="ListParagraph"/>
        <w:numPr>
          <w:ilvl w:val="0"/>
          <w:numId w:val="2"/>
        </w:numPr>
      </w:pPr>
      <w:r>
        <w:t xml:space="preserve">Handwritten or partially complete invoices</w:t>
      </w:r>
    </w:p>
    <w:p/>
    <w:p>
      <w:r>
        <w:t xml:space="preserve">Before any GL coding can happen, all of these need to become a consistent structured record.</w:t>
      </w:r>
    </w:p>
    <w:p/>
    <w:p>
      <w:pPr>
        <w:pStyle w:val="Heading1"/>
      </w:pPr>
      <w:r>
        <w:t xml:space="preserve">2. The Standardisation Pipeline</w:t>
      </w:r>
    </w:p>
    <w:p/>
    <w:p>
      <w:pPr>
        <w:pStyle w:val="Heading2"/>
      </w:pPr>
      <w:r>
        <w:t xml:space="preserve">Stage 1 — Capture &amp; Extraction</w:t>
      </w:r>
    </w:p>
    <w:p>
      <w:r>
        <w:t xml:space="preserve">For scanned PDFs and images: OCR (AWS Textract or Azure Document Intelligence) extracts raw text and layout. These are purpose-built for invoices and understand table structures, line items, and headers.</w:t>
      </w:r>
    </w:p>
    <w:p/>
    <w:p>
      <w:r>
        <w:t xml:space="preserve">For structured e-invoices (XML/UBL): parse directly — no OCR needed.</w:t>
      </w:r>
    </w:p>
    <w:p/>
    <w:p>
      <w:r>
        <w:t xml:space="preserve">For email attachments: extract the attachment, detect format, route to the correct extractor.</w:t>
      </w:r>
    </w:p>
    <w:p/>
    <w:p>
      <w:r>
        <w:rPr>
          <w:b/>
          <w:bCs/>
        </w:rPr>
        <w:t xml:space="preserve">Key fields to extract:</w:t>
      </w:r>
    </w:p>
    <w:p>
      <w:pPr>
        <w:pStyle w:val="ListParagraph"/>
        <w:numPr>
          <w:ilvl w:val="0"/>
          <w:numId w:val="2"/>
        </w:numPr>
      </w:pPr>
      <w:r>
        <w:t xml:space="preserve">Vendor name (raw, exactly as printed)</w:t>
      </w:r>
    </w:p>
    <w:p>
      <w:pPr>
        <w:pStyle w:val="ListParagraph"/>
        <w:numPr>
          <w:ilvl w:val="0"/>
          <w:numId w:val="2"/>
        </w:numPr>
      </w:pPr>
      <w:r>
        <w:t xml:space="preserve">Invoice number</w:t>
      </w:r>
    </w:p>
    <w:p>
      <w:pPr>
        <w:pStyle w:val="ListParagraph"/>
        <w:numPr>
          <w:ilvl w:val="0"/>
          <w:numId w:val="2"/>
        </w:numPr>
      </w:pPr>
      <w:r>
        <w:t xml:space="preserve">Invoice date</w:t>
      </w:r>
    </w:p>
    <w:p>
      <w:pPr>
        <w:pStyle w:val="ListParagraph"/>
        <w:numPr>
          <w:ilvl w:val="0"/>
          <w:numId w:val="2"/>
        </w:numPr>
      </w:pPr>
      <w:r>
        <w:t xml:space="preserve">Due date</w:t>
      </w:r>
    </w:p>
    <w:p>
      <w:pPr>
        <w:pStyle w:val="ListParagraph"/>
        <w:numPr>
          <w:ilvl w:val="0"/>
          <w:numId w:val="2"/>
        </w:numPr>
      </w:pPr>
      <w:r>
        <w:t xml:space="preserve">Line item descriptions</w:t>
      </w:r>
    </w:p>
    <w:p>
      <w:pPr>
        <w:pStyle w:val="ListParagraph"/>
        <w:numPr>
          <w:ilvl w:val="0"/>
          <w:numId w:val="2"/>
        </w:numPr>
      </w:pPr>
      <w:r>
        <w:t xml:space="preserve">Line item amounts</w:t>
      </w:r>
    </w:p>
    <w:p>
      <w:pPr>
        <w:pStyle w:val="ListParagraph"/>
        <w:numPr>
          <w:ilvl w:val="0"/>
          <w:numId w:val="2"/>
        </w:numPr>
      </w:pPr>
      <w:r>
        <w:t xml:space="preserve">Total amount</w:t>
      </w:r>
    </w:p>
    <w:p>
      <w:pPr>
        <w:pStyle w:val="ListParagraph"/>
        <w:numPr>
          <w:ilvl w:val="0"/>
          <w:numId w:val="2"/>
        </w:numPr>
      </w:pPr>
      <w:r>
        <w:t xml:space="preserve">Currency</w:t>
      </w:r>
    </w:p>
    <w:p>
      <w:pPr>
        <w:pStyle w:val="ListParagraph"/>
        <w:numPr>
          <w:ilvl w:val="0"/>
          <w:numId w:val="2"/>
        </w:numPr>
      </w:pPr>
      <w:r>
        <w:t xml:space="preserve">VAT/tax treatment</w:t>
      </w:r>
    </w:p>
    <w:p>
      <w:pPr>
        <w:pStyle w:val="ListParagraph"/>
        <w:numPr>
          <w:ilvl w:val="0"/>
          <w:numId w:val="2"/>
        </w:numPr>
      </w:pPr>
      <w:r>
        <w:t xml:space="preserve">PO reference (if present)</w:t>
      </w:r>
    </w:p>
    <w:p>
      <w:pPr>
        <w:pStyle w:val="ListParagraph"/>
        <w:numPr>
          <w:ilvl w:val="0"/>
          <w:numId w:val="2"/>
        </w:numPr>
      </w:pPr>
      <w:r>
        <w:t xml:space="preserve">Entity/company code</w:t>
      </w:r>
    </w:p>
    <w:p/>
    <w:p>
      <w:pPr>
        <w:pStyle w:val="Heading2"/>
      </w:pPr>
      <w:r>
        <w:t xml:space="preserve">Stage 2 — Normalisation</w:t>
      </w:r>
    </w:p>
    <w:p>
      <w:r>
        <w:t xml:space="preserve">Raw extracted text is messy. Normalisation cleans it:</w:t>
      </w:r>
    </w:p>
    <w:p/>
    <w:p>
      <w:pPr>
        <w:pStyle w:val="ListParagraph"/>
        <w:numPr>
          <w:ilvl w:val="0"/>
          <w:numId w:val="2"/>
        </w:numPr>
      </w:pPr>
      <w:r>
        <w:t xml:space="preserve">Amounts: strip currency symbols, convert comma/period formatting, handle negative amounts (credit notes)</w:t>
      </w:r>
    </w:p>
    <w:p>
      <w:pPr>
        <w:pStyle w:val="ListParagraph"/>
        <w:numPr>
          <w:ilvl w:val="0"/>
          <w:numId w:val="2"/>
        </w:numPr>
      </w:pPr>
      <w:r>
        <w:t xml:space="preserve">Dates: parse all common formats into ISO 8601</w:t>
      </w:r>
    </w:p>
    <w:p>
      <w:pPr>
        <w:pStyle w:val="ListParagraph"/>
        <w:numPr>
          <w:ilvl w:val="0"/>
          <w:numId w:val="2"/>
        </w:numPr>
      </w:pPr>
      <w:r>
        <w:t xml:space="preserve">Currency: ISO 4217 codes from symbols and text (GBP from pound sign, EUR from euro sign)</w:t>
      </w:r>
    </w:p>
    <w:p>
      <w:pPr>
        <w:pStyle w:val="ListParagraph"/>
        <w:numPr>
          <w:ilvl w:val="0"/>
          <w:numId w:val="2"/>
        </w:numPr>
      </w:pPr>
      <w:r>
        <w:t xml:space="preserve">Vendor name: preserve raw exactly — MDM resolution happens next, not here</w:t>
      </w:r>
    </w:p>
    <w:p>
      <w:pPr>
        <w:pStyle w:val="ListParagraph"/>
        <w:numPr>
          <w:ilvl w:val="0"/>
          <w:numId w:val="2"/>
        </w:numPr>
      </w:pPr>
      <w:r>
        <w:t xml:space="preserve">Descriptions: lowercase, strip PO reference numbers, normalise abbreviations (svcs to services, maint to maintenance)</w:t>
      </w:r>
    </w:p>
    <w:p/>
    <w:p>
      <w:pPr>
        <w:pStyle w:val="Heading2"/>
      </w:pPr>
      <w:r>
        <w:t xml:space="preserve">Stage 3 — MDM Resolution</w:t>
      </w:r>
    </w:p>
    <w:p>
      <w:r>
        <w:t xml:space="preserve">The normalised vendor name goes to the MDM service:</w:t>
      </w:r>
    </w:p>
    <w:p/>
    <w:p>
      <w:pPr>
        <w:pStyle w:val="ListParagraph"/>
        <w:numPr>
          <w:ilvl w:val="0"/>
          <w:numId w:val="2"/>
        </w:numPr>
      </w:pPr>
      <w:r>
        <w:t xml:space="preserve">Exact match lookup against the vendor master</w:t>
      </w:r>
    </w:p>
    <w:p>
      <w:pPr>
        <w:pStyle w:val="ListParagraph"/>
        <w:numPr>
          <w:ilvl w:val="0"/>
          <w:numId w:val="2"/>
        </w:numPr>
      </w:pPr>
      <w:r>
        <w:t xml:space="preserve">Fuzzy match (Levenshtein/token sort ratio) if no exact match</w:t>
      </w:r>
    </w:p>
    <w:p>
      <w:pPr>
        <w:pStyle w:val="ListParagraph"/>
        <w:numPr>
          <w:ilvl w:val="0"/>
          <w:numId w:val="2"/>
        </w:numPr>
      </w:pPr>
      <w:r>
        <w:t xml:space="preserve">If fuzzy match confidence &gt; threshold: assign canonical ID</w:t>
      </w:r>
    </w:p>
    <w:p>
      <w:pPr>
        <w:pStyle w:val="ListParagraph"/>
        <w:numPr>
          <w:ilvl w:val="0"/>
          <w:numId w:val="2"/>
        </w:numPr>
      </w:pPr>
      <w:r>
        <w:t xml:space="preserve">If below threshold: flag as unknown vendor and route to cold-start handling</w:t>
      </w:r>
    </w:p>
    <w:p>
      <w:pPr>
        <w:pStyle w:val="ListParagraph"/>
        <w:numPr>
          <w:ilvl w:val="0"/>
          <w:numId w:val="2"/>
        </w:numPr>
      </w:pPr>
      <w:r>
        <w:t xml:space="preserve">Duplicate detection: check Qdrant for semantically similar invoices already received (catches duplicate submissions)</w:t>
      </w:r>
    </w:p>
    <w:p/>
    <w:p>
      <w:pPr>
        <w:pStyle w:val="Heading2"/>
      </w:pPr>
      <w:r>
        <w:t xml:space="preserve">Stage 4 — Validation</w:t>
      </w:r>
    </w:p>
    <w:p>
      <w:r>
        <w:t xml:space="preserve">Before the invoice enters the prediction pipeline:</w:t>
      </w:r>
    </w:p>
    <w:p/>
    <w:p>
      <w:pPr>
        <w:pStyle w:val="ListParagraph"/>
        <w:numPr>
          <w:ilvl w:val="0"/>
          <w:numId w:val="2"/>
        </w:numPr>
      </w:pPr>
      <w:r>
        <w:t xml:space="preserve">Required fields present (vendor, amount, currency, date, at least one line item description)</w:t>
      </w:r>
    </w:p>
    <w:p>
      <w:pPr>
        <w:pStyle w:val="ListParagraph"/>
        <w:numPr>
          <w:ilvl w:val="0"/>
          <w:numId w:val="2"/>
        </w:numPr>
      </w:pPr>
      <w:r>
        <w:t xml:space="preserve">Amount plausibility check (not zero, not negative unless credit note)</w:t>
      </w:r>
    </w:p>
    <w:p>
      <w:pPr>
        <w:pStyle w:val="ListParagraph"/>
        <w:numPr>
          <w:ilvl w:val="0"/>
          <w:numId w:val="2"/>
        </w:numPr>
      </w:pPr>
      <w:r>
        <w:t xml:space="preserve">Date plausibility (not future-dated beyond 30 days, not older than 2 years)</w:t>
      </w:r>
    </w:p>
    <w:p>
      <w:pPr>
        <w:pStyle w:val="ListParagraph"/>
        <w:numPr>
          <w:ilvl w:val="0"/>
          <w:numId w:val="2"/>
        </w:numPr>
      </w:pPr>
      <w:r>
        <w:t xml:space="preserve">Currency valid ISO code</w:t>
      </w:r>
    </w:p>
    <w:p>
      <w:pPr>
        <w:pStyle w:val="ListParagraph"/>
        <w:numPr>
          <w:ilvl w:val="0"/>
          <w:numId w:val="2"/>
        </w:numPr>
      </w:pPr>
      <w:r>
        <w:t xml:space="preserve">If validation fails: reject with structured error code and return to AP team</w:t>
      </w:r>
    </w:p>
    <w:p/>
    <w:p>
      <w:pPr>
        <w:pStyle w:val="Heading2"/>
      </w:pPr>
      <w:r>
        <w:t xml:space="preserve">Stage 5 — Enrichment</w:t>
      </w:r>
    </w:p>
    <w:p>
      <w:r>
        <w:t xml:space="preserve">Once validated and vendor-resolved:</w:t>
      </w:r>
    </w:p>
    <w:p/>
    <w:p>
      <w:pPr>
        <w:pStyle w:val="ListParagraph"/>
        <w:numPr>
          <w:ilvl w:val="0"/>
          <w:numId w:val="2"/>
        </w:numPr>
      </w:pPr>
      <w:r>
        <w:t xml:space="preserve">Amount band assigned (micro/small/medium/large/capex) — drives confidence gate behaviour</w:t>
      </w:r>
    </w:p>
    <w:p>
      <w:pPr>
        <w:pStyle w:val="ListParagraph"/>
        <w:numPr>
          <w:ilvl w:val="0"/>
          <w:numId w:val="2"/>
        </w:numPr>
      </w:pPr>
      <w:r>
        <w:t xml:space="preserve">Entity mapping confirmed (which legal entity does this invoice belong to?)</w:t>
      </w:r>
    </w:p>
    <w:p>
      <w:pPr>
        <w:pStyle w:val="ListParagraph"/>
        <w:numPr>
          <w:ilvl w:val="0"/>
          <w:numId w:val="2"/>
        </w:numPr>
      </w:pPr>
      <w:r>
        <w:t xml:space="preserve">Tax code pre-assigned from vendor profile where known</w:t>
      </w:r>
    </w:p>
    <w:p>
      <w:pPr>
        <w:pStyle w:val="ListParagraph"/>
        <w:numPr>
          <w:ilvl w:val="0"/>
          <w:numId w:val="2"/>
        </w:numPr>
      </w:pPr>
      <w:r>
        <w:t xml:space="preserve">PO match attempted if PO reference present (routes to PO matching flow, out of scope for non-PO pipeline)</w:t>
      </w:r>
    </w:p>
    <w:p/>
    <w:p>
      <w:pPr>
        <w:pStyle w:val="Heading2"/>
      </w:pPr>
      <w:r>
        <w:t xml:space="preserve">Stage 6 — Canonical Invoice Record</w:t>
      </w:r>
    </w:p>
    <w:p>
      <w:r>
        <w:t xml:space="preserve">Output is a fully typed, validated InvoiceRecord object — the same schema every time regardless of source format. This is what the RAG pipeline receives.</w:t>
      </w:r>
    </w:p>
    <w:p/>
    <w:p>
      <w:pPr>
        <w:pStyle w:val="Heading1"/>
      </w:pPr>
      <w:r>
        <w:t xml:space="preserve">3. Preprocessing Before Embedding</w:t>
      </w:r>
    </w:p>
    <w:p>
      <w:r>
        <w:t xml:space="preserve">Before generating embeddings from the description, a lightweight preprocessing pipeline runs:</w:t>
      </w:r>
    </w:p>
    <w:p/>
    <w:p>
      <w:r>
        <w:rPr>
          <w:b/>
          <w:bCs/>
        </w:rPr>
        <w:t xml:space="preserve">1. </w:t>
      </w:r>
      <w:r>
        <w:t xml:space="preserve">Lowercase</w:t>
      </w:r>
    </w:p>
    <w:p>
      <w:r>
        <w:rPr>
          <w:b/>
          <w:bCs/>
        </w:rPr>
        <w:t xml:space="preserve">2. </w:t>
      </w:r>
      <w:r>
        <w:t xml:space="preserve">Strip PO references (PO-12345, ref: 99123)</w:t>
      </w:r>
    </w:p>
    <w:p>
      <w:r>
        <w:rPr>
          <w:b/>
          <w:bCs/>
        </w:rPr>
        <w:t xml:space="preserve">3. </w:t>
      </w:r>
      <w:r>
        <w:t xml:space="preserve">Strip invoice references (inv #, invoice no.)</w:t>
      </w:r>
    </w:p>
    <w:p>
      <w:r>
        <w:rPr>
          <w:b/>
          <w:bCs/>
        </w:rPr>
        <w:t xml:space="preserve">4. </w:t>
      </w:r>
      <w:r>
        <w:t xml:space="preserve">Normalise abbreviations to full words</w:t>
      </w:r>
    </w:p>
    <w:p>
      <w:r>
        <w:rPr>
          <w:b/>
          <w:bCs/>
        </w:rPr>
        <w:t xml:space="preserve">5. </w:t>
      </w:r>
      <w:r>
        <w:t xml:space="preserve">Strip excess whitespace and punctuation</w:t>
      </w:r>
    </w:p>
    <w:p>
      <w:r>
        <w:rPr>
          <w:b/>
          <w:bCs/>
        </w:rPr>
        <w:t xml:space="preserve">6. </w:t>
      </w:r>
      <w:r>
        <w:t xml:space="preserve">If description is very short (&lt;3 words) or generic ("see attached", "as agreed") — flag for near-edge treatment</w:t>
      </w:r>
    </w:p>
    <w:p/>
    <w:p>
      <w:r>
        <w:t xml:space="preserve">This ensures semantically identical invoices produce near-identical embeddings regardless of surface formatting differences.</w:t>
      </w:r>
    </w:p>
    <w:p/>
    <w:p>
      <w:pPr>
        <w:pStyle w:val="Heading1"/>
      </w:pPr>
      <w:r>
        <w:t xml:space="preserve">4. What Makes This Hard in Practice</w:t>
      </w:r>
    </w:p>
    <w:p/>
    <w:p>
      <w:r>
        <w:rPr>
          <w:b/>
          <w:bCs/>
        </w:rPr>
        <w:t xml:space="preserve">Vendor name variation</w:t>
      </w:r>
    </w:p>
    <w:p>
      <w:r>
        <w:t xml:space="preserve">"Meridian Facilities Ltd", "Meridian Fac.", "MERIDIAN FACILITIES LIMITED", "Meridian Facilities" are all the same vendor. MDM has to catch all of these.</w:t>
      </w:r>
    </w:p>
    <w:p/>
    <w:p>
      <w:r>
        <w:rPr>
          <w:b/>
          <w:bCs/>
        </w:rPr>
        <w:t xml:space="preserve">OCR quality</w:t>
      </w:r>
    </w:p>
    <w:p>
      <w:r>
        <w:t xml:space="preserve">Scanned invoice quality varies enormously. A clean laser-printed invoice from a large supplier is very different from a handwritten invoice from a small contractor. Azure Document Intelligence handles the former well; the latter may require human pre-processing.</w:t>
      </w:r>
    </w:p>
    <w:p/>
    <w:p>
      <w:r>
        <w:rPr>
          <w:b/>
          <w:bCs/>
        </w:rPr>
        <w:t xml:space="preserve">Multi-line invoices</w:t>
      </w:r>
    </w:p>
    <w:p>
      <w:r>
        <w:t xml:space="preserve">One invoice, multiple line items with different descriptions and amounts. Each line needs its own GL code. The system handles each line independently — meaning one invoice can generate multiple predictions.</w:t>
      </w:r>
    </w:p>
    <w:p/>
    <w:p>
      <w:r>
        <w:rPr>
          <w:b/>
          <w:bCs/>
        </w:rPr>
        <w:t xml:space="preserve">Credit notes</w:t>
      </w:r>
    </w:p>
    <w:p>
      <w:r>
        <w:t xml:space="preserve">Need special handling — negative amounts, different routing rules, write-back tagged differently.</w:t>
      </w:r>
    </w:p>
    <w:p/>
    <w:p>
      <w:r>
        <w:rPr>
          <w:b/>
          <w:bCs/>
        </w:rPr>
        <w:t xml:space="preserve">Missing descriptions</w:t>
      </w:r>
    </w:p>
    <w:p>
      <w:r>
        <w:t xml:space="preserve">Some invoices just say "services rendered" or "monthly charge". These are near-edge by definition and will always go to review until enough confirmed history builds up for that vendor.</w:t>
      </w:r>
    </w:p>
    <w:p/>
    <w:p>
      <w:pPr>
        <w:pStyle w:val="Heading1"/>
      </w:pPr>
      <w:r>
        <w:t xml:space="preserve">5. POC vs Production</w:t>
      </w:r>
    </w:p>
    <w:p>
      <w:r>
        <w:t xml:space="preserve">The POC skips stages 1-3 (capture, OCR, normalisation) and assumes the invoice arrives as a pre-structured record. The preprocessing pipeline (stage 6 description cleaning) is implemented. MDM resolution is implemented via vendor_map.csv fuzzy matching.</w:t>
      </w:r>
    </w:p>
    <w:p/>
    <w:p>
      <w:r>
        <w:t xml:space="preserve">In production, stages 1-3 would be handled by a dedicated ingestion service — either built or integrating a specialist tool like Rossum, ABBYY, or Hypatos for the OCR/extraction layer.</w:t>
      </w:r>
    </w:p>
    <w:p/>
    <w:p>
      <w:pPr>
        <w:pStyle w:val="Heading1"/>
      </w:pPr>
      <w:r>
        <w:t xml:space="preserve">6. Tool Options for Production Ingestion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Options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OCR / extraction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AWS Textract, Azure Document Intelligence, Rossum, ABBYY, Hypatos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E-invoice parsing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Custom XML/UBL parser, Storecove, Basware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MDM / vendor master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Custom service (as designed), or enrich from existing ERP vendor master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Validation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Custom schema validation (Pydantic)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Enrichment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Internal rules engine + ERP lookup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2026-09-30T12:10:02.674Z</dcterms:created>
  <dcterms:modified xsi:type="dcterms:W3CDTF">2026-09-30T12:10:02.683Z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