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POC Completion Checklist</w:t>
      </w:r>
    </w:p>
    <w:p>
      <w:r>
        <w:t xml:space="preserve">AP Automation — Non-PO Invoice Coding | September 2026</w:t>
      </w:r>
    </w:p>
    <w:p>
      <w:r>
        <w:t xml:space="preserve">Everything needed to prove the solution works end to end. Organised by priority.</w:t>
      </w:r>
    </w:p>
    <w:p/>
    <w:p>
      <w:pPr>
        <w:pStyle w:val="Heading1"/>
      </w:pPr>
      <w:r>
        <w:t xml:space="preserve">1. Dataset &amp; Corpus</w:t>
      </w:r>
    </w:p>
    <w:p>
      <w:pPr>
        <w:pStyle w:val="ListParagraph"/>
        <w:numPr>
          <w:ilvl w:val="0"/>
          <w:numId w:val="2"/>
        </w:numPr>
      </w:pPr>
      <w:r>
        <w:t xml:space="preserve">☐  Regenerate dataset with 10–15 description variants per vendor (semantic variation, not template repetition)</w:t>
      </w:r>
    </w:p>
    <w:p>
      <w:pPr>
        <w:pStyle w:val="ListParagraph"/>
        <w:numPr>
          <w:ilvl w:val="0"/>
          <w:numId w:val="2"/>
        </w:numPr>
      </w:pPr>
      <w:r>
        <w:t xml:space="preserve">☐  Add typos, abbreviations, inconsistent formatting to descriptions</w:t>
      </w:r>
    </w:p>
    <w:p>
      <w:pPr>
        <w:pStyle w:val="ListParagraph"/>
        <w:numPr>
          <w:ilvl w:val="0"/>
          <w:numId w:val="2"/>
        </w:numPr>
      </w:pPr>
      <w:r>
        <w:t xml:space="preserve">☐  Add multi-line invoice splits (one invoice, two GL codes)</w:t>
      </w:r>
    </w:p>
    <w:p>
      <w:pPr>
        <w:pStyle w:val="ListParagraph"/>
        <w:numPr>
          <w:ilvl w:val="0"/>
          <w:numId w:val="2"/>
        </w:numPr>
      </w:pPr>
      <w:r>
        <w:t xml:space="preserve">☐  Add credit notes and reversals</w:t>
      </w:r>
    </w:p>
    <w:p>
      <w:pPr>
        <w:pStyle w:val="ListParagraph"/>
        <w:numPr>
          <w:ilvl w:val="0"/>
          <w:numId w:val="2"/>
        </w:numPr>
      </w:pPr>
      <w:r>
        <w:t xml:space="preserve">☐  Add same vendor across different entities with different coding rules</w:t>
      </w:r>
    </w:p>
    <w:p>
      <w:pPr>
        <w:pStyle w:val="ListParagraph"/>
        <w:numPr>
          <w:ilvl w:val="0"/>
          <w:numId w:val="2"/>
        </w:numPr>
      </w:pPr>
      <w:r>
        <w:t xml:space="preserve">☐  Seed corpus with 300+ lines (not 150) before running the batch</w:t>
      </w:r>
    </w:p>
    <w:p>
      <w:pPr>
        <w:pStyle w:val="ListParagraph"/>
        <w:numPr>
          <w:ilvl w:val="0"/>
          <w:numId w:val="2"/>
        </w:numPr>
      </w:pPr>
      <w:r>
        <w:t xml:space="preserve">☐  Use 2025/2026 timestamps on seed data (not 2024) so recency weighting works properly</w:t>
      </w:r>
    </w:p>
    <w:p/>
    <w:p>
      <w:pPr>
        <w:pStyle w:val="Heading1"/>
      </w:pPr>
      <w:r>
        <w:t xml:space="preserve">2. Retrieval Proof</w:t>
      </w:r>
    </w:p>
    <w:p>
      <w:pPr>
        <w:pStyle w:val="ListParagraph"/>
        <w:numPr>
          <w:ilvl w:val="0"/>
          <w:numId w:val="2"/>
        </w:numPr>
      </w:pPr>
      <w:r>
        <w:t xml:space="preserve">☐  Show semantically similar but differently-worded descriptions retrieve the same GL code</w:t>
      </w:r>
    </w:p>
    <w:p>
      <w:pPr>
        <w:pStyle w:val="ListParagraph"/>
        <w:numPr>
          <w:ilvl w:val="0"/>
          <w:numId w:val="2"/>
        </w:numPr>
      </w:pPr>
      <w:r>
        <w:t xml:space="preserve">☐  Show a typo-filled description still retrieves correctly</w:t>
      </w:r>
    </w:p>
    <w:p>
      <w:pPr>
        <w:pStyle w:val="ListParagraph"/>
        <w:numPr>
          <w:ilvl w:val="0"/>
          <w:numId w:val="2"/>
        </w:numPr>
      </w:pPr>
      <w:r>
        <w:t xml:space="preserve">☐  Demonstrate BM25 catching exact product codes that embeddings miss</w:t>
      </w:r>
    </w:p>
    <w:p>
      <w:pPr>
        <w:pStyle w:val="ListParagraph"/>
        <w:numPr>
          <w:ilvl w:val="0"/>
          <w:numId w:val="2"/>
        </w:numPr>
      </w:pPr>
      <w:r>
        <w:t xml:space="preserve">☐  Show RRF outperforming dense-only retrieval on a sample</w:t>
      </w:r>
    </w:p>
    <w:p/>
    <w:p>
      <w:pPr>
        <w:pStyle w:val="Heading1"/>
      </w:pPr>
      <w:r>
        <w:t xml:space="preserve">3. Confidence Gate Proof</w:t>
      </w:r>
    </w:p>
    <w:p>
      <w:pPr>
        <w:pStyle w:val="ListParagraph"/>
        <w:numPr>
          <w:ilvl w:val="0"/>
          <w:numId w:val="2"/>
        </w:numPr>
      </w:pPr>
      <w:r>
        <w:t xml:space="preserve">☐  Demonstrate high-confidence predictions correct ≥95% of the time</w:t>
      </w:r>
    </w:p>
    <w:p>
      <w:pPr>
        <w:pStyle w:val="ListParagraph"/>
        <w:numPr>
          <w:ilvl w:val="0"/>
          <w:numId w:val="2"/>
        </w:numPr>
      </w:pPr>
      <w:r>
        <w:t xml:space="preserve">☐  Demonstrate low-confidence predictions correctly routed to review</w:t>
      </w:r>
    </w:p>
    <w:p>
      <w:pPr>
        <w:pStyle w:val="ListParagraph"/>
        <w:numPr>
          <w:ilvl w:val="0"/>
          <w:numId w:val="2"/>
        </w:numPr>
      </w:pPr>
      <w:r>
        <w:t xml:space="preserve">☐  Show sparse retrieval gate firing on genuinely new vendors</w:t>
      </w:r>
    </w:p>
    <w:p>
      <w:pPr>
        <w:pStyle w:val="ListParagraph"/>
        <w:numPr>
          <w:ilvl w:val="0"/>
          <w:numId w:val="2"/>
        </w:numPr>
      </w:pPr>
      <w:r>
        <w:t xml:space="preserve">☐  Show per-vendor threshold tightening as corpus grows</w:t>
      </w:r>
    </w:p>
    <w:p/>
    <w:p>
      <w:pPr>
        <w:pStyle w:val="Heading1"/>
      </w:pPr>
      <w:r>
        <w:t xml:space="preserve">4. Write-Back Proof</w:t>
      </w:r>
    </w:p>
    <w:p>
      <w:pPr>
        <w:pStyle w:val="ListParagraph"/>
        <w:numPr>
          <w:ilvl w:val="0"/>
          <w:numId w:val="2"/>
        </w:numPr>
      </w:pPr>
      <w:r>
        <w:t xml:space="preserve">☐  Run batch in segments — show automation rate climbing between segment 1 and segment 10</w:t>
      </w:r>
    </w:p>
    <w:p>
      <w:pPr>
        <w:pStyle w:val="ListParagraph"/>
        <w:numPr>
          <w:ilvl w:val="0"/>
          <w:numId w:val="2"/>
        </w:numPr>
      </w:pPr>
      <w:r>
        <w:t xml:space="preserve">☐  Submit same vendor 5 times manually, confirm each, show confidence climbing from ~40% to auto-post threshold</w:t>
      </w:r>
    </w:p>
    <w:p>
      <w:pPr>
        <w:pStyle w:val="ListParagraph"/>
        <w:numPr>
          <w:ilvl w:val="0"/>
          <w:numId w:val="2"/>
        </w:numPr>
      </w:pPr>
      <w:r>
        <w:t xml:space="preserve">☐  Export before/after corpus size to show growth</w:t>
      </w:r>
    </w:p>
    <w:p/>
    <w:p>
      <w:pPr>
        <w:pStyle w:val="Heading1"/>
      </w:pPr>
      <w:r>
        <w:t xml:space="preserve">5. ERP Write Proof</w:t>
      </w:r>
    </w:p>
    <w:p>
      <w:pPr>
        <w:pStyle w:val="ListParagraph"/>
        <w:numPr>
          <w:ilvl w:val="0"/>
          <w:numId w:val="2"/>
        </w:numPr>
      </w:pPr>
      <w:r>
        <w:t xml:space="preserve">☐  Get mock ERP running on a hosted instance (Render, ~£5/month) so ERP ledger populates during demo</w:t>
      </w:r>
    </w:p>
    <w:p>
      <w:pPr>
        <w:pStyle w:val="ListParagraph"/>
        <w:numPr>
          <w:ilvl w:val="0"/>
          <w:numId w:val="2"/>
        </w:numPr>
      </w:pPr>
      <w:r>
        <w:t xml:space="preserve">☐  Show the Posted Invoices feed updating in real time</w:t>
      </w:r>
    </w:p>
    <w:p>
      <w:pPr>
        <w:pStyle w:val="ListParagraph"/>
        <w:numPr>
          <w:ilvl w:val="0"/>
          <w:numId w:val="2"/>
        </w:numPr>
      </w:pPr>
      <w:r>
        <w:t xml:space="preserve">☐  Show the Google Sheets mirror populating (requires Google Cloud setup)</w:t>
      </w:r>
    </w:p>
    <w:p/>
    <w:p>
      <w:pPr>
        <w:pStyle w:val="Heading1"/>
      </w:pPr>
      <w:r>
        <w:t xml:space="preserve">6. Audit Trail Proof</w:t>
      </w:r>
    </w:p>
    <w:p>
      <w:pPr>
        <w:pStyle w:val="ListParagraph"/>
        <w:numPr>
          <w:ilvl w:val="0"/>
          <w:numId w:val="2"/>
        </w:numPr>
      </w:pPr>
      <w:r>
        <w:t xml:space="preserve">☐  Click through 3–4 different invoice provenance JSONs — show different evidence lines, confidence scores, routing decisions</w:t>
      </w:r>
    </w:p>
    <w:p>
      <w:pPr>
        <w:pStyle w:val="ListParagraph"/>
        <w:numPr>
          <w:ilvl w:val="0"/>
          <w:numId w:val="2"/>
        </w:numPr>
      </w:pPr>
      <w:r>
        <w:t xml:space="preserve">☐  Show a human correction and its write-back — demonstrate the correction becomes future evidence</w:t>
      </w:r>
    </w:p>
    <w:p>
      <w:pPr>
        <w:pStyle w:val="ListParagraph"/>
        <w:numPr>
          <w:ilvl w:val="0"/>
          <w:numId w:val="2"/>
        </w:numPr>
      </w:pPr>
      <w:r>
        <w:t xml:space="preserve">☐  Show a hard-edge invoice full trace: sparse gate fires → routed to review → confirmed → written back</w:t>
      </w:r>
    </w:p>
    <w:p/>
    <w:p>
      <w:pPr>
        <w:pStyle w:val="Heading1"/>
      </w:pPr>
      <w:r>
        <w:t xml:space="preserve">7. Automation Rate Chart</w:t>
      </w:r>
    </w:p>
    <w:p>
      <w:pPr>
        <w:pStyle w:val="ListParagraph"/>
        <w:numPr>
          <w:ilvl w:val="0"/>
          <w:numId w:val="2"/>
        </w:numPr>
      </w:pPr>
      <w:r>
        <w:t xml:space="preserve">☐  Fix the declining chart — larger seed corpus, more focused vendor set</w:t>
      </w:r>
    </w:p>
    <w:p>
      <w:pPr>
        <w:pStyle w:val="ListParagraph"/>
        <w:numPr>
          <w:ilvl w:val="0"/>
          <w:numId w:val="2"/>
        </w:numPr>
      </w:pPr>
      <w:r>
        <w:t xml:space="preserve">☐  Run 1,000-invoice batch showing measurable improvement from start rate to end rate</w:t>
      </w:r>
    </w:p>
    <w:p>
      <w:pPr>
        <w:pStyle w:val="ListParagraph"/>
        <w:numPr>
          <w:ilvl w:val="0"/>
          <w:numId w:val="2"/>
        </w:numPr>
      </w:pPr>
      <w:r>
        <w:t xml:space="preserve">☐  Annotate the chart at the point where write-backs start improving predictions</w:t>
      </w:r>
    </w:p>
    <w:p/>
    <w:p>
      <w:pPr>
        <w:pStyle w:val="Heading1"/>
      </w:pPr>
      <w:r>
        <w:t xml:space="preserve">8. Demo Script</w:t>
      </w:r>
    </w:p>
    <w:p>
      <w:pPr>
        <w:pStyle w:val="ListParagraph"/>
        <w:numPr>
          <w:ilvl w:val="0"/>
          <w:numId w:val="2"/>
        </w:numPr>
      </w:pPr>
      <w:r>
        <w:t xml:space="preserve">☐  Practice the 7-step demo from the POC Scope &amp; Demo Script document</w:t>
      </w:r>
    </w:p>
    <w:p>
      <w:pPr>
        <w:pStyle w:val="ListParagraph"/>
        <w:numPr>
          <w:ilvl w:val="0"/>
          <w:numId w:val="2"/>
        </w:numPr>
      </w:pPr>
      <w:r>
        <w:t xml:space="preserve">☐  Time it — target under 10 minutes</w:t>
      </w:r>
    </w:p>
    <w:p>
      <w:pPr>
        <w:pStyle w:val="ListParagraph"/>
        <w:numPr>
          <w:ilvl w:val="0"/>
          <w:numId w:val="2"/>
        </w:numPr>
      </w:pPr>
      <w:r>
        <w:t xml:space="preserve">☐  Prepare answers to three likely objections: hallucination risk, data quality, governance</w:t>
      </w:r>
    </w:p>
    <w:p/>
    <w:p>
      <w:pPr>
        <w:pStyle w:val="Heading1"/>
      </w:pPr>
      <w:r>
        <w:t xml:space="preserve">9. Hosting</w:t>
      </w:r>
    </w:p>
    <w:p>
      <w:pPr>
        <w:pStyle w:val="ListParagraph"/>
        <w:numPr>
          <w:ilvl w:val="0"/>
          <w:numId w:val="2"/>
        </w:numPr>
      </w:pPr>
      <w:r>
        <w:t xml:space="preserve">☐  Get mock ERP hosted (Render) so ERP ledger works in the public demo</w:t>
      </w:r>
    </w:p>
    <w:p>
      <w:pPr>
        <w:pStyle w:val="ListParagraph"/>
        <w:numPr>
          <w:ilvl w:val="0"/>
          <w:numId w:val="2"/>
        </w:numPr>
      </w:pPr>
      <w:r>
        <w:t xml:space="preserve">☐  Set up Google Sheets mirror for live posting during demo</w:t>
      </w:r>
    </w:p>
    <w:p>
      <w:pPr>
        <w:pStyle w:val="ListParagraph"/>
        <w:numPr>
          <w:ilvl w:val="0"/>
          <w:numId w:val="2"/>
        </w:numPr>
      </w:pPr>
      <w:r>
        <w:t xml:space="preserve">☐  Get a cleaner Streamlit URL (custom domain or rename)</w:t>
      </w:r>
    </w:p>
    <w:p/>
    <w:p>
      <w:pPr>
        <w:pStyle w:val="Heading1"/>
      </w:pPr>
      <w:r>
        <w:t xml:space="preserve">10. Documentation</w:t>
      </w:r>
    </w:p>
    <w:p>
      <w:pPr>
        <w:pStyle w:val="ListParagraph"/>
        <w:numPr>
          <w:ilvl w:val="0"/>
          <w:numId w:val="2"/>
        </w:numPr>
      </w:pPr>
      <w:r>
        <w:t xml:space="preserve">☐  Add README section explaining what each tab proves</w:t>
      </w:r>
    </w:p>
    <w:p>
      <w:pPr>
        <w:pStyle w:val="ListParagraph"/>
        <w:numPr>
          <w:ilvl w:val="0"/>
          <w:numId w:val="2"/>
        </w:numPr>
      </w:pPr>
      <w:r>
        <w:t xml:space="preserve">☐  Add inline captions in the UI explaining what is happening at each step</w:t>
      </w:r>
    </w:p>
    <w:p>
      <w:pPr>
        <w:pStyle w:val="ListParagraph"/>
        <w:numPr>
          <w:ilvl w:val="0"/>
          <w:numId w:val="2"/>
        </w:numPr>
      </w:pPr>
      <w:r>
        <w:t xml:space="preserve">☐  Commit Obsidian vault notes to the repo under docs/</w:t>
      </w:r>
    </w:p>
    <w:p/>
    <w:p>
      <w:pPr>
        <w:pStyle w:val="Heading1"/>
      </w:pPr>
      <w:r>
        <w:t xml:space="preserve">Confidence Assessment</w:t>
      </w:r>
    </w:p>
    <w:p/>
    <w:p>
      <w:pPr>
        <w:pStyle w:val="Heading2"/>
      </w:pPr>
      <w:r>
        <w:t xml:space="preserve">Confident it will pass</w:t>
      </w:r>
    </w:p>
    <w:p>
      <w:pPr>
        <w:pStyle w:val="ListParagraph"/>
        <w:numPr>
          <w:ilvl w:val="0"/>
          <w:numId w:val="2"/>
        </w:numPr>
      </w:pPr>
      <w:r>
        <w:t xml:space="preserve">☐  Sparse retrieval gate — already proven, works correctly</w:t>
      </w:r>
    </w:p>
    <w:p>
      <w:pPr>
        <w:pStyle w:val="ListParagraph"/>
        <w:numPr>
          <w:ilvl w:val="0"/>
          <w:numId w:val="2"/>
        </w:numPr>
      </w:pPr>
      <w:r>
        <w:t xml:space="preserve">☐  Audit trail / provenance JSON — already working</w:t>
      </w:r>
    </w:p>
    <w:p>
      <w:pPr>
        <w:pStyle w:val="ListParagraph"/>
        <w:numPr>
          <w:ilvl w:val="0"/>
          <w:numId w:val="2"/>
        </w:numPr>
      </w:pPr>
      <w:r>
        <w:t xml:space="preserve">☐  Semantic retrieval — embedding similarity is sound</w:t>
      </w:r>
    </w:p>
    <w:p>
      <w:pPr>
        <w:pStyle w:val="ListParagraph"/>
        <w:numPr>
          <w:ilvl w:val="0"/>
          <w:numId w:val="2"/>
        </w:numPr>
      </w:pPr>
      <w:r>
        <w:t xml:space="preserve">☐  Human review routing on low confidence — already working</w:t>
      </w:r>
    </w:p>
    <w:p>
      <w:pPr>
        <w:pStyle w:val="ListParagraph"/>
        <w:numPr>
          <w:ilvl w:val="0"/>
          <w:numId w:val="2"/>
        </w:numPr>
      </w:pPr>
      <w:r>
        <w:t xml:space="preserve">☐  Write-back loop firing — already working technically</w:t>
      </w:r>
    </w:p>
    <w:p/>
    <w:p>
      <w:pPr>
        <w:pStyle w:val="Heading2"/>
      </w:pPr>
      <w:r>
        <w:t xml:space="preserve">Needs work before demo</w:t>
      </w:r>
    </w:p>
    <w:p>
      <w:pPr>
        <w:pStyle w:val="ListParagraph"/>
        <w:numPr>
          <w:ilvl w:val="0"/>
          <w:numId w:val="2"/>
        </w:numPr>
      </w:pPr>
      <w:r>
        <w:t xml:space="preserve">☐  Automation rate climbing across the batch — the single most important fix; root cause is seed corpus too small and too diverse</w:t>
      </w:r>
    </w:p>
    <w:p>
      <w:pPr>
        <w:pStyle w:val="ListParagraph"/>
        <w:numPr>
          <w:ilvl w:val="0"/>
          <w:numId w:val="2"/>
        </w:numPr>
      </w:pPr>
      <w:r>
        <w:t xml:space="preserve">☐  High-confidence predictions ≥95% correct — not yet measured properly</w:t>
      </w:r>
    </w:p>
    <w:p>
      <w:pPr>
        <w:pStyle w:val="ListParagraph"/>
        <w:numPr>
          <w:ilvl w:val="0"/>
          <w:numId w:val="2"/>
        </w:numPr>
      </w:pPr>
      <w:r>
        <w:t xml:space="preserve">☐  BM25 outperforming dense-only — not yet isolated and measured</w:t>
      </w:r>
    </w:p>
    <w:p>
      <w:pPr>
        <w:pStyle w:val="ListParagraph"/>
        <w:numPr>
          <w:ilvl w:val="0"/>
          <w:numId w:val="2"/>
        </w:numPr>
      </w:pPr>
      <w:r>
        <w:t xml:space="preserve">☐  Per-vendor threshold tightening — currently a single global threshold</w:t>
      </w:r>
    </w:p>
    <w:p/>
    <w:p>
      <w:pPr>
        <w:pStyle w:val="Heading2"/>
      </w:pPr>
      <w:r>
        <w:t xml:space="preserve">The single most important fix</w:t>
      </w:r>
    </w:p>
    <w:p>
      <w:r>
        <w:t xml:space="preserve">The automation rate chart. Everything else is secondary. Fix the dataset variation and seed size first, get the chart working, then work through the rest.</w:t>
      </w:r>
    </w:p>
    <w:p/>
    <w:p>
      <w:r>
        <w:t xml:space="preserve">The system is architecturally sound. The failure so far is a data problem, not a system problem. One focused session on the dataset and seed will get the chart looking the way it should.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2026-09-29T12:40:35.140Z</dcterms:created>
  <dcterms:modified xsi:type="dcterms:W3CDTF">2026-09-29T12:40:35.147Z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