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— Custom Evaluations (Langfuse)</w:t>
      </w:r>
    </w:p>
    <w:p>
      <w:r>
        <w:t xml:space="preserve">Custom eval design for the AP Automation system. Generic LLM evals do not capture what matters here — every eval below is specific to the retrieval, confidence gate, write-back loop, agentic layer, and MDM resolution that make this system work.</w:t>
      </w:r>
    </w:p>
    <w:p>
      <w:r>
        <w:t xml:space="preserve">September 2026</w:t>
      </w:r>
    </w:p>
    <w:p/>
    <w:p>
      <w:pPr>
        <w:pStyle w:val="Heading1"/>
      </w:pPr>
      <w:r>
        <w:t xml:space="preserve">1. Retrieval Evals</w:t>
      </w:r>
    </w:p>
    <w:p/>
    <w:p>
      <w:pPr>
        <w:pStyle w:val="Heading2"/>
      </w:pPr>
      <w:r>
        <w:t xml:space="preserve">Recall@K</w:t>
      </w:r>
    </w:p>
    <w:p>
      <w:r>
        <w:rPr>
          <w:b/>
          <w:bCs/>
        </w:rPr>
        <w:t xml:space="preserve">What it measures: </w:t>
      </w:r>
      <w:r>
        <w:t xml:space="preserve">Did the correct GL code appear in the top K retrieved lines?</w:t>
      </w:r>
    </w:p>
    <w:p>
      <w:r>
        <w:rPr>
          <w:b/>
          <w:bCs/>
        </w:rPr>
        <w:t xml:space="preserve">Why it matters: </w:t>
      </w:r>
      <w:r>
        <w:t xml:space="preserve">The single most important retrieval metric. If the correct GL is not in the retrieved set, no amount of confidence scoring can produce the right answer.</w:t>
      </w:r>
    </w:p>
    <w:p>
      <w:r>
        <w:rPr>
          <w:b/>
          <w:bCs/>
        </w:rPr>
        <w:t xml:space="preserve">Target: </w:t>
      </w:r>
      <w:r>
        <w:t xml:space="preserve">Recall@10 &gt;= 0.92</w:t>
      </w:r>
    </w:p>
    <w:p>
      <w:r>
        <w:rPr>
          <w:b/>
          <w:bCs/>
        </w:rPr>
        <w:t xml:space="preserve">Release gate: </w:t>
      </w:r>
      <w:r>
        <w:t xml:space="preserve">Yes — blocks production deploy if breached</w:t>
      </w:r>
    </w:p>
    <w:p>
      <w:r>
        <w:rPr>
          <w:b/>
          <w:bCs/>
        </w:rPr>
        <w:t xml:space="preserve">Implementation: </w:t>
      </w:r>
      <w:r>
        <w:t xml:space="preserve">Run against a golden dataset of 200+ labelled invoices. Custom Python scorer attached to the retrieval span in Langfuse.</w:t>
      </w:r>
    </w:p>
    <w:p>
      <w:r>
        <w:rPr>
          <w:b/>
          <w:bCs/>
        </w:rPr>
        <w:t xml:space="preserve">Cadence: </w:t>
      </w:r>
      <w:r>
        <w:t xml:space="preserve">Every PR + nightly</w:t>
      </w:r>
    </w:p>
    <w:p/>
    <w:p>
      <w:pPr>
        <w:pStyle w:val="Heading2"/>
      </w:pPr>
      <w:r>
        <w:t xml:space="preserve">MRR (Mean Reciprocal Rank)</w:t>
      </w:r>
    </w:p>
    <w:p>
      <w:r>
        <w:rPr>
          <w:b/>
          <w:bCs/>
        </w:rPr>
        <w:t xml:space="preserve">What it measures: </w:t>
      </w:r>
      <w:r>
        <w:t xml:space="preserve">Where in the retrieved list did the correct GL code first appear?</w:t>
      </w:r>
    </w:p>
    <w:p>
      <w:r>
        <w:rPr>
          <w:b/>
          <w:bCs/>
        </w:rPr>
        <w:t xml:space="preserve">Why it matters: </w:t>
      </w:r>
      <w:r>
        <w:t xml:space="preserve">Recall@K tells you whether the answer is present; MRR tells you whether it is at the top. A correct answer at rank 10 contributes far less to confidence scoring than one at rank 1.</w:t>
      </w:r>
    </w:p>
    <w:p>
      <w:r>
        <w:rPr>
          <w:b/>
          <w:bCs/>
        </w:rPr>
        <w:t xml:space="preserve">Target: </w:t>
      </w:r>
      <w:r>
        <w:t xml:space="preserve">MRR &gt;= 0.80</w:t>
      </w:r>
    </w:p>
    <w:p>
      <w:r>
        <w:rPr>
          <w:b/>
          <w:bCs/>
        </w:rPr>
        <w:t xml:space="preserve">Release gate: </w:t>
      </w:r>
      <w:r>
        <w:t xml:space="preserve">No — monitor only</w:t>
      </w:r>
    </w:p>
    <w:p>
      <w:r>
        <w:rPr>
          <w:b/>
          <w:bCs/>
        </w:rPr>
        <w:t xml:space="preserve">Cadence: </w:t>
      </w:r>
      <w:r>
        <w:t xml:space="preserve">Nightly</w:t>
      </w:r>
    </w:p>
    <w:p/>
    <w:p>
      <w:pPr>
        <w:pStyle w:val="Heading2"/>
      </w:pPr>
      <w:r>
        <w:t xml:space="preserve">Vendor Filter Precision</w:t>
      </w:r>
    </w:p>
    <w:p>
      <w:r>
        <w:rPr>
          <w:b/>
          <w:bCs/>
        </w:rPr>
        <w:t xml:space="preserve">What it measures: </w:t>
      </w:r>
      <w:r>
        <w:t xml:space="preserve">When a vendor filter is applied, what % of retrieved lines belong to that vendor?</w:t>
      </w:r>
    </w:p>
    <w:p>
      <w:r>
        <w:rPr>
          <w:b/>
          <w:bCs/>
        </w:rPr>
        <w:t xml:space="preserve">Why it matters: </w:t>
      </w:r>
      <w:r>
        <w:t xml:space="preserve">A failing payload index returns unfiltered results silently — this catches it before it affects predictions.</w:t>
      </w:r>
    </w:p>
    <w:p>
      <w:r>
        <w:rPr>
          <w:b/>
          <w:bCs/>
        </w:rPr>
        <w:t xml:space="preserve">Target: </w:t>
      </w:r>
      <w:r>
        <w:t xml:space="preserve">&gt;= 98%</w:t>
      </w:r>
    </w:p>
    <w:p>
      <w:r>
        <w:rPr>
          <w:b/>
          <w:bCs/>
        </w:rPr>
        <w:t xml:space="preserve">Release gate: </w:t>
      </w:r>
      <w:r>
        <w:t xml:space="preserve">Yes</w:t>
      </w:r>
    </w:p>
    <w:p>
      <w:r>
        <w:rPr>
          <w:b/>
          <w:bCs/>
        </w:rPr>
        <w:t xml:space="preserve">Cadence: </w:t>
      </w:r>
      <w:r>
        <w:t xml:space="preserve">Every PR</w:t>
      </w:r>
    </w:p>
    <w:p/>
    <w:p>
      <w:pPr>
        <w:pStyle w:val="Heading2"/>
      </w:pPr>
      <w:r>
        <w:t xml:space="preserve">BM25 vs Dense Contribution</w:t>
      </w:r>
    </w:p>
    <w:p>
      <w:r>
        <w:rPr>
          <w:b/>
          <w:bCs/>
        </w:rPr>
        <w:t xml:space="preserve">What it measures: </w:t>
      </w:r>
      <w:r>
        <w:t xml:space="preserve">Does hybrid retrieval outperform dense-only on near-edge and ambiguous descriptions?</w:t>
      </w:r>
    </w:p>
    <w:p>
      <w:r>
        <w:rPr>
          <w:b/>
          <w:bCs/>
        </w:rPr>
        <w:t xml:space="preserve">Why it matters: </w:t>
      </w:r>
      <w:r>
        <w:t xml:space="preserve">If BM25 stops contributing, the tokenisation pipeline may have regressed or corpus description quality has dropped.</w:t>
      </w:r>
    </w:p>
    <w:p>
      <w:r>
        <w:rPr>
          <w:b/>
          <w:bCs/>
        </w:rPr>
        <w:t xml:space="preserve">Target: </w:t>
      </w:r>
      <w:r>
        <w:t xml:space="preserve">Hybrid Recall@10 &gt;= dense-only Recall@10 on near-edge test set</w:t>
      </w:r>
    </w:p>
    <w:p>
      <w:r>
        <w:rPr>
          <w:b/>
          <w:bCs/>
        </w:rPr>
        <w:t xml:space="preserve">Release gate: </w:t>
      </w:r>
      <w:r>
        <w:t xml:space="preserve">No — monitor and alert</w:t>
      </w:r>
    </w:p>
    <w:p>
      <w:r>
        <w:rPr>
          <w:b/>
          <w:bCs/>
        </w:rPr>
        <w:t xml:space="preserve">Cadence: </w:t>
      </w:r>
      <w:r>
        <w:t xml:space="preserve">Monthly</w:t>
      </w:r>
    </w:p>
    <w:p/>
    <w:p>
      <w:pPr>
        <w:pStyle w:val="Heading1"/>
      </w:pPr>
      <w:r>
        <w:t xml:space="preserve">2. Confidence Gate Evals</w:t>
      </w:r>
    </w:p>
    <w:p/>
    <w:p>
      <w:pPr>
        <w:pStyle w:val="Heading2"/>
      </w:pPr>
      <w:r>
        <w:t xml:space="preserve">Calibration Score</w:t>
      </w:r>
    </w:p>
    <w:p>
      <w:r>
        <w:rPr>
          <w:b/>
          <w:bCs/>
        </w:rPr>
        <w:t xml:space="preserve">What it measures: </w:t>
      </w:r>
      <w:r>
        <w:t xml:space="preserve">For invoices auto-posted at confidence X%, what % were actually correct?</w:t>
      </w:r>
    </w:p>
    <w:p>
      <w:r>
        <w:rPr>
          <w:b/>
          <w:bCs/>
        </w:rPr>
        <w:t xml:space="preserve">Why it matters: </w:t>
      </w:r>
      <w:r>
        <w:t xml:space="preserve">If 80% confidence predictions are only 70% correct, the gate is mis-calibrated and auto-posting too aggressively. The confidence score must track actual accuracy across all bands.</w:t>
      </w:r>
    </w:p>
    <w:p>
      <w:r>
        <w:rPr>
          <w:b/>
          <w:bCs/>
        </w:rPr>
        <w:t xml:space="preserve">Target: </w:t>
      </w:r>
      <w:r>
        <w:t xml:space="preserve">Confidence score within +/-5% of actual accuracy across all bands</w:t>
      </w:r>
    </w:p>
    <w:p>
      <w:r>
        <w:rPr>
          <w:b/>
          <w:bCs/>
        </w:rPr>
        <w:t xml:space="preserve">Release gate: </w:t>
      </w:r>
      <w:r>
        <w:t xml:space="preserve">No — monitor and alert</w:t>
      </w:r>
    </w:p>
    <w:p>
      <w:r>
        <w:rPr>
          <w:b/>
          <w:bCs/>
        </w:rPr>
        <w:t xml:space="preserve">Cadence: </w:t>
      </w:r>
      <w:r>
        <w:t xml:space="preserve">Weekly</w:t>
      </w:r>
    </w:p>
    <w:p/>
    <w:p>
      <w:pPr>
        <w:pStyle w:val="Heading2"/>
      </w:pPr>
      <w:r>
        <w:t xml:space="preserve">False Positive Rate</w:t>
      </w:r>
    </w:p>
    <w:p>
      <w:r>
        <w:rPr>
          <w:b/>
          <w:bCs/>
        </w:rPr>
        <w:t xml:space="preserve">What it measures: </w:t>
      </w:r>
      <w:r>
        <w:t xml:space="preserve">Auto-posted invoices that were subsequently corrected by a human.</w:t>
      </w:r>
    </w:p>
    <w:p>
      <w:r>
        <w:rPr>
          <w:b/>
          <w:bCs/>
        </w:rPr>
        <w:t xml:space="preserve">Why it matters: </w:t>
      </w:r>
      <w:r>
        <w:t xml:space="preserve">The most business-critical metric. A false auto-post has a real financial consequence — wrong GL code posted to the ERP. Every false positive is a governance failure.</w:t>
      </w:r>
    </w:p>
    <w:p>
      <w:r>
        <w:rPr>
          <w:b/>
          <w:bCs/>
        </w:rPr>
        <w:t xml:space="preserve">Target: </w:t>
      </w:r>
      <w:r>
        <w:t xml:space="preserve">&lt; 1% of all auto-posts</w:t>
      </w:r>
    </w:p>
    <w:p>
      <w:r>
        <w:rPr>
          <w:b/>
          <w:bCs/>
        </w:rPr>
        <w:t xml:space="preserve">Release gate: </w:t>
      </w:r>
      <w:r>
        <w:t xml:space="preserve">Yes — blocks production deploy if breached over a 7-day rolling window</w:t>
      </w:r>
    </w:p>
    <w:p>
      <w:r>
        <w:rPr>
          <w:b/>
          <w:bCs/>
        </w:rPr>
        <w:t xml:space="preserve">Implementation: </w:t>
      </w:r>
      <w:r>
        <w:t xml:space="preserve">Join auto-post records against human correction records. Any auto-post followed by a human correction within 30 days is a false positive.</w:t>
      </w:r>
    </w:p>
    <w:p>
      <w:r>
        <w:rPr>
          <w:b/>
          <w:bCs/>
        </w:rPr>
        <w:t xml:space="preserve">Cadence: </w:t>
      </w:r>
      <w:r>
        <w:t xml:space="preserve">Daily</w:t>
      </w:r>
    </w:p>
    <w:p/>
    <w:p>
      <w:pPr>
        <w:pStyle w:val="Heading2"/>
      </w:pPr>
      <w:r>
        <w:t xml:space="preserve">False Negative Rate</w:t>
      </w:r>
    </w:p>
    <w:p>
      <w:r>
        <w:rPr>
          <w:b/>
          <w:bCs/>
        </w:rPr>
        <w:t xml:space="preserve">What it measures: </w:t>
      </w:r>
      <w:r>
        <w:t xml:space="preserve">Invoices routed to review that would have been correct if auto-posted.</w:t>
      </w:r>
    </w:p>
    <w:p>
      <w:r>
        <w:rPr>
          <w:b/>
          <w:bCs/>
        </w:rPr>
        <w:t xml:space="preserve">Why it matters: </w:t>
      </w:r>
      <w:r>
        <w:t xml:space="preserve">Measures avoidable human review cost. A high false negative rate means the confidence gate is too conservative.</w:t>
      </w:r>
    </w:p>
    <w:p>
      <w:r>
        <w:rPr>
          <w:b/>
          <w:bCs/>
        </w:rPr>
        <w:t xml:space="preserve">Target: </w:t>
      </w:r>
      <w:r>
        <w:t xml:space="preserve">Track but do not gate on this — safety always trumps efficiency</w:t>
      </w:r>
    </w:p>
    <w:p>
      <w:r>
        <w:rPr>
          <w:b/>
          <w:bCs/>
        </w:rPr>
        <w:t xml:space="preserve">Cadence: </w:t>
      </w:r>
      <w:r>
        <w:t xml:space="preserve">Weekly</w:t>
      </w:r>
    </w:p>
    <w:p/>
    <w:p>
      <w:pPr>
        <w:pStyle w:val="Heading2"/>
      </w:pPr>
      <w:r>
        <w:t xml:space="preserve">Gate Tightness per Vendor</w:t>
      </w:r>
    </w:p>
    <w:p>
      <w:r>
        <w:rPr>
          <w:b/>
          <w:bCs/>
        </w:rPr>
        <w:t xml:space="preserve">What it measures: </w:t>
      </w:r>
      <w:r>
        <w:t xml:space="preserve">As corpus grows for a vendor, does the confidence score increase?</w:t>
      </w:r>
    </w:p>
    <w:p>
      <w:r>
        <w:rPr>
          <w:b/>
          <w:bCs/>
        </w:rPr>
        <w:t xml:space="preserve">Why it matters: </w:t>
      </w:r>
      <w:r>
        <w:t xml:space="preserve">Validates the write-back loop is working. If confidence is not climbing with corpus size, the retrieval or scoring pipeline has regressed.</w:t>
      </w:r>
    </w:p>
    <w:p>
      <w:r>
        <w:rPr>
          <w:b/>
          <w:bCs/>
        </w:rPr>
        <w:t xml:space="preserve">Target: </w:t>
      </w:r>
      <w:r>
        <w:t xml:space="preserve">Positive correlation between corpus size per vendor and mean confidence score</w:t>
      </w:r>
    </w:p>
    <w:p>
      <w:r>
        <w:rPr>
          <w:b/>
          <w:bCs/>
        </w:rPr>
        <w:t xml:space="preserve">Cadence: </w:t>
      </w:r>
      <w:r>
        <w:t xml:space="preserve">Weekly</w:t>
      </w:r>
    </w:p>
    <w:p/>
    <w:p>
      <w:pPr>
        <w:pStyle w:val="Heading1"/>
      </w:pPr>
      <w:r>
        <w:t xml:space="preserve">3. Write-Back Evals</w:t>
      </w:r>
    </w:p>
    <w:p/>
    <w:p>
      <w:pPr>
        <w:pStyle w:val="Heading2"/>
      </w:pPr>
      <w:r>
        <w:t xml:space="preserve">Corpus Freshness</w:t>
      </w:r>
    </w:p>
    <w:p>
      <w:r>
        <w:rPr>
          <w:b/>
          <w:bCs/>
        </w:rPr>
        <w:t xml:space="preserve">What it measures: </w:t>
      </w:r>
      <w:r>
        <w:t xml:space="preserve">Are write-backs reflected in subsequent retrievals within the expected window?</w:t>
      </w:r>
    </w:p>
    <w:p>
      <w:r>
        <w:rPr>
          <w:b/>
          <w:bCs/>
        </w:rPr>
        <w:t xml:space="preserve">Why it matters: </w:t>
      </w:r>
      <w:r>
        <w:t xml:space="preserve">A write-back that does not surface in retrieval means the corpus is not learning. Silent failure.</w:t>
      </w:r>
    </w:p>
    <w:p>
      <w:r>
        <w:rPr>
          <w:b/>
          <w:bCs/>
        </w:rPr>
        <w:t xml:space="preserve">Target: </w:t>
      </w:r>
      <w:r>
        <w:t xml:space="preserve">Write-back visible in retrieval within 5 minutes</w:t>
      </w:r>
    </w:p>
    <w:p>
      <w:r>
        <w:rPr>
          <w:b/>
          <w:bCs/>
        </w:rPr>
        <w:t xml:space="preserve">Implementation: </w:t>
      </w:r>
      <w:r>
        <w:t xml:space="preserve">After each write-back, run a retrieval query for the same description and check the new point appears in top-10 results. Sampled at 10%.</w:t>
      </w:r>
    </w:p>
    <w:p>
      <w:r>
        <w:rPr>
          <w:b/>
          <w:bCs/>
        </w:rPr>
        <w:t xml:space="preserve">Cadence: </w:t>
      </w:r>
      <w:r>
        <w:t xml:space="preserve">Per write-back (sampled)</w:t>
      </w:r>
    </w:p>
    <w:p/>
    <w:p>
      <w:pPr>
        <w:pStyle w:val="Heading2"/>
      </w:pPr>
      <w:r>
        <w:t xml:space="preserve">Write-Back Accuracy</w:t>
      </w:r>
    </w:p>
    <w:p>
      <w:r>
        <w:rPr>
          <w:b/>
          <w:bCs/>
        </w:rPr>
        <w:t xml:space="preserve">What it measures: </w:t>
      </w:r>
      <w:r>
        <w:t xml:space="preserve">Of outcomes written back, what % were human-confirmed vs auto-posted?</w:t>
      </w:r>
    </w:p>
    <w:p>
      <w:r>
        <w:rPr>
          <w:b/>
          <w:bCs/>
        </w:rPr>
        <w:t xml:space="preserve">Why it matters: </w:t>
      </w:r>
      <w:r>
        <w:t xml:space="preserve">If the corpus is seeded primarily by auto-posts that are later corrected, it will learn wrong patterns and compound errors.</w:t>
      </w:r>
    </w:p>
    <w:p>
      <w:r>
        <w:rPr>
          <w:b/>
          <w:bCs/>
        </w:rPr>
        <w:t xml:space="preserve">Target: </w:t>
      </w:r>
      <w:r>
        <w:t xml:space="preserve">Human-confirmed outcomes &gt;= 30% of all write-backs</w:t>
      </w:r>
    </w:p>
    <w:p>
      <w:r>
        <w:rPr>
          <w:b/>
          <w:bCs/>
        </w:rPr>
        <w:t xml:space="preserve">Cadence: </w:t>
      </w:r>
      <w:r>
        <w:t xml:space="preserve">Daily</w:t>
      </w:r>
    </w:p>
    <w:p/>
    <w:p>
      <w:pPr>
        <w:pStyle w:val="Heading2"/>
      </w:pPr>
      <w:r>
        <w:t xml:space="preserve">Corpus Drift Detection</w:t>
      </w:r>
    </w:p>
    <w:p>
      <w:r>
        <w:rPr>
          <w:b/>
          <w:bCs/>
        </w:rPr>
        <w:t xml:space="preserve">What it measures: </w:t>
      </w:r>
      <w:r>
        <w:t xml:space="preserve">GL code distribution per vendor over a rolling 90-day window vs the prior 90-day window.</w:t>
      </w:r>
    </w:p>
    <w:p>
      <w:r>
        <w:rPr>
          <w:b/>
          <w:bCs/>
        </w:rPr>
        <w:t xml:space="preserve">Why it matters: </w:t>
      </w:r>
      <w:r>
        <w:t xml:space="preserve">A shift in the dominant GL code signals either a real coding policy change or a data quality problem.</w:t>
      </w:r>
    </w:p>
    <w:p>
      <w:r>
        <w:rPr>
          <w:b/>
          <w:bCs/>
        </w:rPr>
        <w:t xml:space="preserve">Target: </w:t>
      </w:r>
      <w:r>
        <w:t xml:space="preserve">Alert if dominant GL code changes by &gt;20 percentage points for any vendor with &gt;20 lines</w:t>
      </w:r>
    </w:p>
    <w:p>
      <w:r>
        <w:rPr>
          <w:b/>
          <w:bCs/>
        </w:rPr>
        <w:t xml:space="preserve">Cadence: </w:t>
      </w:r>
      <w:r>
        <w:t xml:space="preserve">Weekly</w:t>
      </w:r>
    </w:p>
    <w:p/>
    <w:p>
      <w:pPr>
        <w:pStyle w:val="Heading1"/>
      </w:pPr>
      <w:r>
        <w:t xml:space="preserve">4. Agentic Layer Evals</w:t>
      </w:r>
    </w:p>
    <w:p/>
    <w:p>
      <w:pPr>
        <w:pStyle w:val="Heading2"/>
      </w:pPr>
      <w:r>
        <w:t xml:space="preserve">Explanation Quality</w:t>
      </w:r>
    </w:p>
    <w:p>
      <w:r>
        <w:rPr>
          <w:b/>
          <w:bCs/>
        </w:rPr>
        <w:t xml:space="preserve">What it measures: </w:t>
      </w:r>
      <w:r>
        <w:t xml:space="preserve">Does the plain-English explanation correctly identify the reason for the routing decision?</w:t>
      </w:r>
    </w:p>
    <w:p>
      <w:r>
        <w:rPr>
          <w:b/>
          <w:bCs/>
        </w:rPr>
        <w:t xml:space="preserve">Why it matters: </w:t>
      </w:r>
      <w:r>
        <w:t xml:space="preserve">The explanation is the clerk's primary trust signal. A wrong or misleading explanation undermines confidence in the system even if the GL code is correct.</w:t>
      </w:r>
    </w:p>
    <w:p>
      <w:r>
        <w:rPr>
          <w:b/>
          <w:bCs/>
        </w:rPr>
        <w:t xml:space="preserve">Target: </w:t>
      </w:r>
      <w:r>
        <w:t xml:space="preserve">Judge score &gt;= 4.0/5.0 on accuracy, completeness, plain language rubric</w:t>
      </w:r>
    </w:p>
    <w:p>
      <w:r>
        <w:rPr>
          <w:b/>
          <w:bCs/>
        </w:rPr>
        <w:t xml:space="preserve">Implementation: </w:t>
      </w:r>
      <w:r>
        <w:t xml:space="preserve">Claude Sonnet grades each explanation 1-5 on: accuracy, completeness, plain language. Score attached to the explanation span in Langfuse. Sampled at 5%.</w:t>
      </w:r>
    </w:p>
    <w:p>
      <w:r>
        <w:rPr>
          <w:b/>
          <w:bCs/>
        </w:rPr>
        <w:t xml:space="preserve">Cadence: </w:t>
      </w:r>
      <w:r>
        <w:t xml:space="preserve">Nightly batch</w:t>
      </w:r>
    </w:p>
    <w:p/>
    <w:p>
      <w:pPr>
        <w:pStyle w:val="Heading2"/>
      </w:pPr>
      <w:r>
        <w:t xml:space="preserve">Tool Call Correctness</w:t>
      </w:r>
    </w:p>
    <w:p>
      <w:r>
        <w:rPr>
          <w:b/>
          <w:bCs/>
        </w:rPr>
        <w:t xml:space="preserve">What it measures: </w:t>
      </w:r>
      <w:r>
        <w:t xml:space="preserve">Did the agentic layer call the right tools in the right order for each invoice type?</w:t>
      </w:r>
    </w:p>
    <w:p>
      <w:r>
        <w:rPr>
          <w:b/>
          <w:bCs/>
        </w:rPr>
        <w:t xml:space="preserve">Why it matters: </w:t>
      </w:r>
      <w:r>
        <w:t xml:space="preserve">An incorrect tool call sequence can produce a wrong recommendation even if the LLM reasoning is sound. Catches prompt drift and model version changes.</w:t>
      </w:r>
    </w:p>
    <w:p>
      <w:r>
        <w:rPr>
          <w:b/>
          <w:bCs/>
        </w:rPr>
        <w:t xml:space="preserve">Target: </w:t>
      </w:r>
      <w:r>
        <w:t xml:space="preserve">&gt;= 95% of tool call sequences match expected sequence for invoice category</w:t>
      </w:r>
    </w:p>
    <w:p>
      <w:r>
        <w:rPr>
          <w:b/>
          <w:bCs/>
        </w:rPr>
        <w:t xml:space="preserve">Release gate: </w:t>
      </w:r>
      <w:r>
        <w:t xml:space="preserve">Yes</w:t>
      </w:r>
    </w:p>
    <w:p>
      <w:r>
        <w:rPr>
          <w:b/>
          <w:bCs/>
        </w:rPr>
        <w:t xml:space="preserve">Implementation: </w:t>
      </w:r>
      <w:r>
        <w:t xml:space="preserve">Golden set of 50 ambiguous invoices with expected tool call sequences. Compare actual vs expected in Langfuse trace.</w:t>
      </w:r>
    </w:p>
    <w:p>
      <w:r>
        <w:rPr>
          <w:b/>
          <w:bCs/>
        </w:rPr>
        <w:t xml:space="preserve">Cadence: </w:t>
      </w:r>
      <w:r>
        <w:t xml:space="preserve">Every PR</w:t>
      </w:r>
    </w:p>
    <w:p/>
    <w:p>
      <w:pPr>
        <w:pStyle w:val="Heading2"/>
      </w:pPr>
      <w:r>
        <w:t xml:space="preserve">Hallucination Rate</w:t>
      </w:r>
    </w:p>
    <w:p>
      <w:r>
        <w:rPr>
          <w:b/>
          <w:bCs/>
        </w:rPr>
        <w:t xml:space="preserve">What it measures: </w:t>
      </w:r>
      <w:r>
        <w:t xml:space="preserve">Did the LLM recommend a GL code not supported by any retrieved evidence line?</w:t>
      </w:r>
    </w:p>
    <w:p>
      <w:r>
        <w:rPr>
          <w:b/>
          <w:bCs/>
        </w:rPr>
        <w:t xml:space="preserve">Why it matters: </w:t>
      </w:r>
      <w:r>
        <w:t xml:space="preserve">Any recommendation not grounded in retrieved evidence is a hallucination. In a financial coding system this is unacceptable.</w:t>
      </w:r>
    </w:p>
    <w:p>
      <w:r>
        <w:rPr>
          <w:b/>
          <w:bCs/>
        </w:rPr>
        <w:t xml:space="preserve">Target: </w:t>
      </w:r>
      <w:r>
        <w:t xml:space="preserve">0% — hard requirement, no tolerance</w:t>
      </w:r>
    </w:p>
    <w:p>
      <w:r>
        <w:rPr>
          <w:b/>
          <w:bCs/>
        </w:rPr>
        <w:t xml:space="preserve">Release gate: </w:t>
      </w:r>
      <w:r>
        <w:t xml:space="preserve">Yes — any hallucination detected blocks deploy</w:t>
      </w:r>
    </w:p>
    <w:p>
      <w:r>
        <w:rPr>
          <w:b/>
          <w:bCs/>
        </w:rPr>
        <w:t xml:space="preserve">Cadence: </w:t>
      </w:r>
      <w:r>
        <w:t xml:space="preserve">Every PR + daily</w:t>
      </w:r>
    </w:p>
    <w:p/>
    <w:p>
      <w:pPr>
        <w:pStyle w:val="Heading2"/>
      </w:pPr>
      <w:r>
        <w:t xml:space="preserve">Reasoning Latency</w:t>
      </w:r>
    </w:p>
    <w:p>
      <w:r>
        <w:rPr>
          <w:b/>
          <w:bCs/>
        </w:rPr>
        <w:t xml:space="preserve">What it measures: </w:t>
      </w:r>
      <w:r>
        <w:t xml:space="preserve">p95 time from ambiguous invoice received to routing decision returned from the agentic layer.</w:t>
      </w:r>
    </w:p>
    <w:p>
      <w:r>
        <w:rPr>
          <w:b/>
          <w:bCs/>
        </w:rPr>
        <w:t xml:space="preserve">Target: </w:t>
      </w:r>
      <w:r>
        <w:t xml:space="preserve">p95 &lt; 3 seconds</w:t>
      </w:r>
    </w:p>
    <w:p>
      <w:r>
        <w:rPr>
          <w:b/>
          <w:bCs/>
        </w:rPr>
        <w:t xml:space="preserve">Release gate: </w:t>
      </w:r>
      <w:r>
        <w:t xml:space="preserve">No — monitor and alert (PagerDuty if p95 &gt; 3s for 10 minutes)</w:t>
      </w:r>
    </w:p>
    <w:p>
      <w:r>
        <w:rPr>
          <w:b/>
          <w:bCs/>
        </w:rPr>
        <w:t xml:space="preserve">Cadence: </w:t>
      </w:r>
      <w:r>
        <w:t xml:space="preserve">Continuous</w:t>
      </w:r>
    </w:p>
    <w:p/>
    <w:p>
      <w:pPr>
        <w:pStyle w:val="Heading1"/>
      </w:pPr>
      <w:r>
        <w:t xml:space="preserve">5. MDM Evals</w:t>
      </w:r>
    </w:p>
    <w:p/>
    <w:p>
      <w:pPr>
        <w:pStyle w:val="Heading2"/>
      </w:pPr>
      <w:r>
        <w:t xml:space="preserve">Canonical ID Resolution Accuracy</w:t>
      </w:r>
    </w:p>
    <w:p>
      <w:r>
        <w:rPr>
          <w:b/>
          <w:bCs/>
        </w:rPr>
        <w:t xml:space="preserve">What it measures: </w:t>
      </w:r>
      <w:r>
        <w:t xml:space="preserve">Given a raw vendor name, does MDM return the correct canonical ID?</w:t>
      </w:r>
    </w:p>
    <w:p>
      <w:r>
        <w:rPr>
          <w:b/>
          <w:bCs/>
        </w:rPr>
        <w:t xml:space="preserve">Why it matters: </w:t>
      </w:r>
      <w:r>
        <w:t xml:space="preserve">MDM failure is silent and catastrophic — a wrong canonical ID means the wrong vendor history is retrieved, producing a confident but wrong prediction.</w:t>
      </w:r>
    </w:p>
    <w:p>
      <w:r>
        <w:rPr>
          <w:b/>
          <w:bCs/>
        </w:rPr>
        <w:t xml:space="preserve">Target: </w:t>
      </w:r>
      <w:r>
        <w:t xml:space="preserve">&gt;= 98% on golden set of 500 vendor name variants</w:t>
      </w:r>
    </w:p>
    <w:p>
      <w:r>
        <w:rPr>
          <w:b/>
          <w:bCs/>
        </w:rPr>
        <w:t xml:space="preserve">Release gate: </w:t>
      </w:r>
      <w:r>
        <w:t xml:space="preserve">Yes</w:t>
      </w:r>
    </w:p>
    <w:p>
      <w:r>
        <w:rPr>
          <w:b/>
          <w:bCs/>
        </w:rPr>
        <w:t xml:space="preserve">Cadence: </w:t>
      </w:r>
      <w:r>
        <w:t xml:space="preserve">Every PR</w:t>
      </w:r>
    </w:p>
    <w:p/>
    <w:p>
      <w:pPr>
        <w:pStyle w:val="Heading2"/>
      </w:pPr>
      <w:r>
        <w:t xml:space="preserve">Fuzzy Match Precision</w:t>
      </w:r>
    </w:p>
    <w:p>
      <w:r>
        <w:rPr>
          <w:b/>
          <w:bCs/>
        </w:rPr>
        <w:t xml:space="preserve">What it measures: </w:t>
      </w:r>
      <w:r>
        <w:t xml:space="preserve">For vendor names not in the exact match list, does fuzzy matching return the correct canonical ID?</w:t>
      </w:r>
    </w:p>
    <w:p>
      <w:r>
        <w:rPr>
          <w:b/>
          <w:bCs/>
        </w:rPr>
        <w:t xml:space="preserve">Why it matters: </w:t>
      </w:r>
      <w:r>
        <w:t xml:space="preserve">Real invoice data has typos, abbreviations, and inconsistent formatting. Fuzzy match failure silently routes to a cold-start when history exists.</w:t>
      </w:r>
    </w:p>
    <w:p>
      <w:r>
        <w:rPr>
          <w:b/>
          <w:bCs/>
        </w:rPr>
        <w:t xml:space="preserve">Target: </w:t>
      </w:r>
      <w:r>
        <w:t xml:space="preserve">&gt;= 95% on fuzzy match golden set of 200 noisy vendor names</w:t>
      </w:r>
    </w:p>
    <w:p>
      <w:r>
        <w:rPr>
          <w:b/>
          <w:bCs/>
        </w:rPr>
        <w:t xml:space="preserve">Release gate: </w:t>
      </w:r>
      <w:r>
        <w:t xml:space="preserve">No — monitor and alert</w:t>
      </w:r>
    </w:p>
    <w:p>
      <w:r>
        <w:rPr>
          <w:b/>
          <w:bCs/>
        </w:rPr>
        <w:t xml:space="preserve">Cadence: </w:t>
      </w:r>
      <w:r>
        <w:t xml:space="preserve">Weekly</w:t>
      </w:r>
    </w:p>
    <w:p/>
    <w:p>
      <w:pPr>
        <w:pStyle w:val="Heading1"/>
      </w:pPr>
      <w:r>
        <w:t xml:space="preserve">6. Implementation Summary</w:t>
      </w:r>
    </w:p>
    <w:p/>
    <w:p>
      <w:pPr>
        <w:pStyle w:val="Heading2"/>
      </w:pPr>
      <w:r>
        <w:t xml:space="preserve">Langfuse Score Names</w:t>
      </w:r>
    </w:p>
    <w:p>
      <w:pPr>
        <w:pStyle w:val="ListParagraph"/>
        <w:numPr>
          <w:ilvl w:val="0"/>
          <w:numId w:val="2"/>
        </w:numPr>
      </w:pPr>
      <w:r>
        <w:t xml:space="preserve">retrieval.recall_at_10</w:t>
      </w:r>
    </w:p>
    <w:p>
      <w:pPr>
        <w:pStyle w:val="ListParagraph"/>
        <w:numPr>
          <w:ilvl w:val="0"/>
          <w:numId w:val="2"/>
        </w:numPr>
      </w:pPr>
      <w:r>
        <w:t xml:space="preserve">retrieval.mrr</w:t>
      </w:r>
    </w:p>
    <w:p>
      <w:pPr>
        <w:pStyle w:val="ListParagraph"/>
        <w:numPr>
          <w:ilvl w:val="0"/>
          <w:numId w:val="2"/>
        </w:numPr>
      </w:pPr>
      <w:r>
        <w:t xml:space="preserve">retrieval.vendor_filter_precision</w:t>
      </w:r>
    </w:p>
    <w:p>
      <w:pPr>
        <w:pStyle w:val="ListParagraph"/>
        <w:numPr>
          <w:ilvl w:val="0"/>
          <w:numId w:val="2"/>
        </w:numPr>
      </w:pPr>
      <w:r>
        <w:t xml:space="preserve">gate.false_positive_rate</w:t>
      </w:r>
    </w:p>
    <w:p>
      <w:pPr>
        <w:pStyle w:val="ListParagraph"/>
        <w:numPr>
          <w:ilvl w:val="0"/>
          <w:numId w:val="2"/>
        </w:numPr>
      </w:pPr>
      <w:r>
        <w:t xml:space="preserve">gate.calibration</w:t>
      </w:r>
    </w:p>
    <w:p>
      <w:pPr>
        <w:pStyle w:val="ListParagraph"/>
        <w:numPr>
          <w:ilvl w:val="0"/>
          <w:numId w:val="2"/>
        </w:numPr>
      </w:pPr>
      <w:r>
        <w:t xml:space="preserve">gate.false_negative_rate</w:t>
      </w:r>
    </w:p>
    <w:p>
      <w:pPr>
        <w:pStyle w:val="ListParagraph"/>
        <w:numPr>
          <w:ilvl w:val="0"/>
          <w:numId w:val="2"/>
        </w:numPr>
      </w:pPr>
      <w:r>
        <w:t xml:space="preserve">writeback.corpus_freshness</w:t>
      </w:r>
    </w:p>
    <w:p>
      <w:pPr>
        <w:pStyle w:val="ListParagraph"/>
        <w:numPr>
          <w:ilvl w:val="0"/>
          <w:numId w:val="2"/>
        </w:numPr>
      </w:pPr>
      <w:r>
        <w:t xml:space="preserve">writeback.drift_detection</w:t>
      </w:r>
    </w:p>
    <w:p>
      <w:pPr>
        <w:pStyle w:val="ListParagraph"/>
        <w:numPr>
          <w:ilvl w:val="0"/>
          <w:numId w:val="2"/>
        </w:numPr>
      </w:pPr>
      <w:r>
        <w:t xml:space="preserve">agentic.hallucination_rate</w:t>
      </w:r>
    </w:p>
    <w:p>
      <w:pPr>
        <w:pStyle w:val="ListParagraph"/>
        <w:numPr>
          <w:ilvl w:val="0"/>
          <w:numId w:val="2"/>
        </w:numPr>
      </w:pPr>
      <w:r>
        <w:t xml:space="preserve">agentic.explanation_quality</w:t>
      </w:r>
    </w:p>
    <w:p>
      <w:pPr>
        <w:pStyle w:val="ListParagraph"/>
        <w:numPr>
          <w:ilvl w:val="0"/>
          <w:numId w:val="2"/>
        </w:numPr>
      </w:pPr>
      <w:r>
        <w:t xml:space="preserve">agentic.tool_call_correctness</w:t>
      </w:r>
    </w:p>
    <w:p>
      <w:pPr>
        <w:pStyle w:val="ListParagraph"/>
        <w:numPr>
          <w:ilvl w:val="0"/>
          <w:numId w:val="2"/>
        </w:numPr>
      </w:pPr>
      <w:r>
        <w:t xml:space="preserve">agentic.reasoning_latency_p95</w:t>
      </w:r>
    </w:p>
    <w:p>
      <w:pPr>
        <w:pStyle w:val="ListParagraph"/>
        <w:numPr>
          <w:ilvl w:val="0"/>
          <w:numId w:val="2"/>
        </w:numPr>
      </w:pPr>
      <w:r>
        <w:t xml:space="preserve">mdm.resolution_accuracy</w:t>
      </w:r>
    </w:p>
    <w:p>
      <w:pPr>
        <w:pStyle w:val="ListParagraph"/>
        <w:numPr>
          <w:ilvl w:val="0"/>
          <w:numId w:val="2"/>
        </w:numPr>
      </w:pPr>
      <w:r>
        <w:t xml:space="preserve">mdm.fuzzy_match_precision</w:t>
      </w:r>
    </w:p>
    <w:p/>
    <w:p>
      <w:pPr>
        <w:pStyle w:val="Heading2"/>
      </w:pPr>
      <w:r>
        <w:t xml:space="preserve">CI Gate (blocks production deploy)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Eval</w:t>
            </w:r>
          </w:p>
        </w:tc>
        <w:tc>
          <w:tcPr>
            <w:shd w:color="E2E8F0" w:val="clear"/>
          </w:tcPr>
          <w:p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Recall@10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&gt;= 0.92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Vendor filter precision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&gt;= 98%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False positive rate (7-day rolling)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&lt; 1%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Tool call correctness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&gt;= 95%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Hallucination rate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</w:tr>
      <w:tr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MDM resolution accuracy</w:t>
            </w:r>
          </w:p>
        </w:tc>
        <w:tc>
          <w:p>
            <w:r>
              <w:rPr>
                <w:b w:val="false"/>
                <w:bCs w:val="false"/>
                <w:sz w:val="18"/>
                <w:szCs w:val="18"/>
              </w:rPr>
              <w:t xml:space="preserve">&gt;= 98%</w:t>
            </w:r>
          </w:p>
        </w:tc>
      </w:tr>
    </w:tbl>
    <w:p/>
    <w:p>
      <w:pPr>
        <w:pStyle w:val="Heading2"/>
      </w:pPr>
      <w:r>
        <w:t xml:space="preserve">Build Order (priority)</w:t>
      </w:r>
    </w:p>
    <w:p>
      <w:r>
        <w:rPr>
          <w:b/>
          <w:bCs/>
        </w:rPr>
        <w:t xml:space="preserve">1. </w:t>
      </w:r>
      <w:r>
        <w:t xml:space="preserve">Recall@K — proves retrieval is working</w:t>
      </w:r>
    </w:p>
    <w:p>
      <w:r>
        <w:rPr>
          <w:b/>
          <w:bCs/>
        </w:rPr>
        <w:t xml:space="preserve">2. </w:t>
      </w:r>
      <w:r>
        <w:t xml:space="preserve">False positive rate — proves governance is working</w:t>
      </w:r>
    </w:p>
    <w:p>
      <w:r>
        <w:rPr>
          <w:b/>
          <w:bCs/>
        </w:rPr>
        <w:t xml:space="preserve">3. </w:t>
      </w:r>
      <w:r>
        <w:t xml:space="preserve">Calibration score — proves the confidence gate is honest</w:t>
      </w:r>
    </w:p>
    <w:p>
      <w:r>
        <w:rPr>
          <w:b/>
          <w:bCs/>
        </w:rPr>
        <w:t xml:space="preserve">4. </w:t>
      </w:r>
      <w:r>
        <w:t xml:space="preserve">Explanation quality — proves the agentic layer is trustworthy</w:t>
      </w:r>
    </w:p>
    <w:p>
      <w:r>
        <w:rPr>
          <w:b/>
          <w:bCs/>
        </w:rPr>
        <w:t xml:space="preserve">5. </w:t>
      </w:r>
      <w:r>
        <w:t xml:space="preserve">Hallucination rate — hard safety requirement</w:t>
      </w:r>
    </w:p>
    <w:p>
      <w:r>
        <w:rPr>
          <w:b/>
          <w:bCs/>
        </w:rPr>
        <w:t xml:space="preserve">6. </w:t>
      </w:r>
      <w:r>
        <w:t xml:space="preserve">Corpus drift detection — long-term data quality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2026-09-30T10:07:57.130Z</dcterms:created>
  <dcterms:modified xsi:type="dcterms:W3CDTF">2026-09-30T10:07:57.138Z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