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color w:val="1F4E78"/>
          <w:sz w:val="40"/>
        </w:rPr>
        <w:t>Business Requirements: Automated Non-PO Invoice Coding</w:t>
      </w:r>
    </w:p>
    <w:p>
      <w:pPr>
        <w:spacing w:after="120"/>
      </w:pPr>
      <w:r>
        <w:rPr>
          <w:rFonts w:ascii="Calibri" w:hAnsi="Calibri"/>
          <w:b w:val="0"/>
          <w:i w:val="0"/>
          <w:sz w:val="20"/>
        </w:rPr>
        <w:t>Version 1.0</w:t>
      </w:r>
    </w:p>
    <w:p>
      <w:pPr>
        <w:spacing w:after="120"/>
      </w:pPr>
      <w:r>
        <w:rPr>
          <w:rFonts w:ascii="Calibri" w:hAnsi="Calibri"/>
          <w:b w:val="0"/>
          <w:i w:val="0"/>
          <w:sz w:val="20"/>
        </w:rPr>
        <w:t>August 2026</w:t>
      </w:r>
    </w:p>
    <w:p/>
    <w:p>
      <w:pPr>
        <w:pStyle w:val="Heading1"/>
      </w:pPr>
      <w:r>
        <w:t>1. Executive Summary</w:t>
      </w:r>
    </w:p>
    <w:p>
      <w:pPr>
        <w:spacing w:after="120"/>
      </w:pPr>
      <w:r>
        <w:rPr>
          <w:rFonts w:ascii="Calibri" w:hAnsi="Calibri"/>
          <w:b w:val="0"/>
          <w:i w:val="0"/>
          <w:sz w:val="20"/>
        </w:rPr>
        <w:t>Springtime Technologies currently processes non-PO invoices using a deterministic engine that matches invoices against a database of manually authored business rules, referred to as skills. Professional services teams write and maintain these skills. Every new client, vendor, or process change requires human intervention to create or update rules. This creates a linear scaling problem that increases cost and delays onboarding.</w:t>
      </w:r>
    </w:p>
    <w:p>
      <w:pPr>
        <w:spacing w:after="120"/>
      </w:pPr>
      <w:r>
        <w:rPr>
          <w:rFonts w:ascii="Calibri" w:hAnsi="Calibri"/>
          <w:b w:val="0"/>
          <w:i w:val="0"/>
          <w:sz w:val="20"/>
        </w:rPr>
        <w:t>This document defines the business requirements for a self-learning system that predicts coding rows for non-PO invoices. The system will learn from historical invoice data and from interactions with accounts payable and finance staff. The goal is to eliminate the need for professional services teams to manually author and maintain business rules while maintaining or improving accuracy, compliance, and auditability.</w:t>
      </w:r>
    </w:p>
    <w:p>
      <w:pPr>
        <w:pStyle w:val="Heading1"/>
      </w:pPr>
      <w:r>
        <w:t>2. Business Context</w:t>
      </w:r>
    </w:p>
    <w:p>
      <w:pPr>
        <w:pStyle w:val="Heading2"/>
      </w:pPr>
      <w:r>
        <w:t>2.1 Current State</w:t>
      </w:r>
    </w:p>
    <w:p>
      <w:pPr>
        <w:spacing w:after="120"/>
      </w:pPr>
      <w:r>
        <w:rPr>
          <w:rFonts w:ascii="Calibri" w:hAnsi="Calibri"/>
          <w:b w:val="0"/>
          <w:i w:val="0"/>
          <w:sz w:val="20"/>
        </w:rPr>
        <w:t>The existing system uses a deterministic engine that evaluates non-PO invoices against a database of manually authored skills. Each skill defines a matching condition and a target coding outcome. When an invoice arrives, the engine finds the matching skill and executes the coding. The output is predictable and repeatable for the same input.</w:t>
      </w:r>
    </w:p>
    <w:p>
      <w:pPr>
        <w:pStyle w:val="ListBullet"/>
        <w:spacing w:after="80"/>
      </w:pPr>
      <w:r>
        <w:rPr>
          <w:rFonts w:ascii="Calibri" w:hAnsi="Calibri"/>
          <w:sz w:val="20"/>
        </w:rPr>
        <w:t>Skills are created and maintained by professional services teams.</w:t>
      </w:r>
    </w:p>
    <w:p>
      <w:pPr>
        <w:pStyle w:val="ListBullet"/>
        <w:spacing w:after="80"/>
      </w:pPr>
      <w:r>
        <w:rPr>
          <w:rFonts w:ascii="Calibri" w:hAnsi="Calibri"/>
          <w:sz w:val="20"/>
        </w:rPr>
        <w:t>New clients require new skills to be written before they can achieve high automation rates.</w:t>
      </w:r>
    </w:p>
    <w:p>
      <w:pPr>
        <w:pStyle w:val="ListBullet"/>
        <w:spacing w:after="80"/>
      </w:pPr>
      <w:r>
        <w:rPr>
          <w:rFonts w:ascii="Calibri" w:hAnsi="Calibri"/>
          <w:sz w:val="20"/>
        </w:rPr>
        <w:t>Vendor changes, process changes, and policy changes all require skill updates.</w:t>
      </w:r>
    </w:p>
    <w:p>
      <w:pPr>
        <w:pStyle w:val="ListBullet"/>
        <w:spacing w:after="80"/>
      </w:pPr>
      <w:r>
        <w:rPr>
          <w:rFonts w:ascii="Calibri" w:hAnsi="Calibri"/>
          <w:sz w:val="20"/>
        </w:rPr>
        <w:t>The system does not learn from corrections or from operational experience.</w:t>
      </w:r>
    </w:p>
    <w:p>
      <w:pPr>
        <w:pStyle w:val="ListBullet"/>
        <w:spacing w:after="80"/>
      </w:pPr>
      <w:r>
        <w:rPr>
          <w:rFonts w:ascii="Calibri" w:hAnsi="Calibri"/>
          <w:sz w:val="20"/>
        </w:rPr>
        <w:t>The volume of skills grows over time, increasing maintenance burden and complexity.</w:t>
      </w:r>
    </w:p>
    <w:p>
      <w:pPr>
        <w:pStyle w:val="Heading2"/>
      </w:pPr>
      <w:r>
        <w:t>2.2 Target State</w:t>
      </w:r>
    </w:p>
    <w:p>
      <w:pPr>
        <w:spacing w:after="120"/>
      </w:pPr>
      <w:r>
        <w:rPr>
          <w:rFonts w:ascii="Calibri" w:hAnsi="Calibri"/>
          <w:b w:val="0"/>
          <w:i w:val="0"/>
          <w:sz w:val="20"/>
        </w:rPr>
        <w:t>The target system uses a retrieval-based approach combined with confidence scoring and conditional reasoning. Instead of matching against manually written rules, the system retrieves historically coded invoice lines that are similar to the current invoice. It checks whether the retrieved examples agree on the coding. If they agree with high confidence, the invoice is posted automatically. If they disagree or if confidence is low, the invoice routes to human review. Confirmed outcomes, whether auto-posted or corrected by a human, are added back to the retrieval corpus so the system improves over time.</w:t>
      </w:r>
    </w:p>
    <w:p>
      <w:pPr>
        <w:pStyle w:val="ListBullet"/>
        <w:spacing w:after="80"/>
      </w:pPr>
      <w:r>
        <w:rPr>
          <w:rFonts w:ascii="Calibri" w:hAnsi="Calibri"/>
          <w:sz w:val="20"/>
        </w:rPr>
        <w:t>The system learns from historical invoice data without manual rule authoring.</w:t>
      </w:r>
    </w:p>
    <w:p>
      <w:pPr>
        <w:pStyle w:val="ListBullet"/>
        <w:spacing w:after="80"/>
      </w:pPr>
      <w:r>
        <w:rPr>
          <w:rFonts w:ascii="Calibri" w:hAnsi="Calibri"/>
          <w:sz w:val="20"/>
        </w:rPr>
        <w:t>The system learns from corrections made by accounts payable and finance staff.</w:t>
      </w:r>
    </w:p>
    <w:p>
      <w:pPr>
        <w:pStyle w:val="ListBullet"/>
        <w:spacing w:after="80"/>
      </w:pPr>
      <w:r>
        <w:rPr>
          <w:rFonts w:ascii="Calibri" w:hAnsi="Calibri"/>
          <w:sz w:val="20"/>
        </w:rPr>
        <w:t>The system accepts natural language instructions from staff and converts them into structured guidance.</w:t>
      </w:r>
    </w:p>
    <w:p>
      <w:pPr>
        <w:pStyle w:val="ListBullet"/>
        <w:spacing w:after="80"/>
      </w:pPr>
      <w:r>
        <w:rPr>
          <w:rFonts w:ascii="Calibri" w:hAnsi="Calibri"/>
          <w:sz w:val="20"/>
        </w:rPr>
        <w:t>The system provides full traceability for every coding decision.</w:t>
      </w:r>
    </w:p>
    <w:p>
      <w:pPr>
        <w:pStyle w:val="ListBullet"/>
        <w:spacing w:after="80"/>
      </w:pPr>
      <w:r>
        <w:rPr>
          <w:rFonts w:ascii="Calibri" w:hAnsi="Calibri"/>
          <w:sz w:val="20"/>
        </w:rPr>
        <w:t>The system supports graduated migration from the existing deterministic engine.</w:t>
      </w:r>
    </w:p>
    <w:p>
      <w:pPr>
        <w:pStyle w:val="Heading2"/>
      </w:pPr>
      <w:r>
        <w:t>2.3 Business Problem</w:t>
      </w:r>
    </w:p>
    <w:p>
      <w:pPr>
        <w:spacing w:after="120"/>
      </w:pPr>
      <w:r>
        <w:rPr>
          <w:rFonts w:ascii="Calibri" w:hAnsi="Calibri"/>
          <w:b w:val="0"/>
          <w:i w:val="0"/>
          <w:sz w:val="20"/>
        </w:rPr>
        <w:t>The current approach creates several business problems that limit growth and increase cost.</w:t>
      </w:r>
    </w:p>
    <w:p>
      <w:pPr>
        <w:pStyle w:val="ListBullet"/>
        <w:spacing w:after="80"/>
      </w:pPr>
      <w:r>
        <w:rPr>
          <w:rFonts w:ascii="Calibri" w:hAnsi="Calibri"/>
          <w:sz w:val="20"/>
        </w:rPr>
        <w:t>Professional services cost scales linearly with client and vendor growth.</w:t>
      </w:r>
    </w:p>
    <w:p>
      <w:pPr>
        <w:pStyle w:val="ListBullet"/>
        <w:spacing w:after="80"/>
      </w:pPr>
      <w:r>
        <w:rPr>
          <w:rFonts w:ascii="Calibri" w:hAnsi="Calibri"/>
          <w:sz w:val="20"/>
        </w:rPr>
        <w:t>Time to value for new clients is extended by the need to write rules before automation is possible.</w:t>
      </w:r>
    </w:p>
    <w:p>
      <w:pPr>
        <w:pStyle w:val="ListBullet"/>
        <w:spacing w:after="80"/>
      </w:pPr>
      <w:r>
        <w:rPr>
          <w:rFonts w:ascii="Calibri" w:hAnsi="Calibri"/>
          <w:sz w:val="20"/>
        </w:rPr>
        <w:t>The system cannot adapt to vendor behaviour changes without human intervention.</w:t>
      </w:r>
    </w:p>
    <w:p>
      <w:pPr>
        <w:pStyle w:val="ListBullet"/>
        <w:spacing w:after="80"/>
      </w:pPr>
      <w:r>
        <w:rPr>
          <w:rFonts w:ascii="Calibri" w:hAnsi="Calibri"/>
          <w:sz w:val="20"/>
        </w:rPr>
        <w:t>Correction patterns made by experienced staff are lost because they do not feed back into the system.</w:t>
      </w:r>
    </w:p>
    <w:p>
      <w:pPr>
        <w:pStyle w:val="ListBullet"/>
        <w:spacing w:after="80"/>
      </w:pPr>
      <w:r>
        <w:rPr>
          <w:rFonts w:ascii="Calibri" w:hAnsi="Calibri"/>
          <w:sz w:val="20"/>
        </w:rPr>
        <w:t>The growing rule base becomes harder to test, validate, and change safely.</w:t>
      </w:r>
    </w:p>
    <w:p>
      <w:pPr>
        <w:pStyle w:val="Heading2"/>
      </w:pPr>
      <w:r>
        <w:t>2.4 Business Opportunity</w:t>
      </w:r>
    </w:p>
    <w:p>
      <w:pPr>
        <w:spacing w:after="120"/>
      </w:pPr>
      <w:r>
        <w:rPr>
          <w:rFonts w:ascii="Calibri" w:hAnsi="Calibri"/>
          <w:b w:val="0"/>
          <w:i w:val="0"/>
          <w:sz w:val="20"/>
        </w:rPr>
        <w:t>A self-learning system offers the opportunity to reduce professional services dependency, accelerate client onboarding, and improve automation rates over time without proportional cost increase. It also offers the opportunity to capture institutional knowledge from finance staff that currently leaves the organisation when people change roles or leave the company.</w:t>
      </w:r>
    </w:p>
    <w:p>
      <w:pPr>
        <w:pStyle w:val="Heading1"/>
      </w:pPr>
      <w:r>
        <w:t>3. Scope</w:t>
      </w:r>
    </w:p>
    <w:p>
      <w:pPr>
        <w:pStyle w:val="Heading2"/>
      </w:pPr>
      <w:r>
        <w:t>3.1 In Scope</w:t>
      </w:r>
    </w:p>
    <w:p>
      <w:pPr>
        <w:pStyle w:val="ListBullet"/>
        <w:spacing w:after="80"/>
      </w:pPr>
      <w:r>
        <w:rPr>
          <w:rFonts w:ascii="Calibri" w:hAnsi="Calibri"/>
          <w:sz w:val="20"/>
        </w:rPr>
        <w:t>Prediction of general ledger account codes for non-PO invoice lines.</w:t>
      </w:r>
    </w:p>
    <w:p>
      <w:pPr>
        <w:pStyle w:val="ListBullet"/>
        <w:spacing w:after="80"/>
      </w:pPr>
      <w:r>
        <w:rPr>
          <w:rFonts w:ascii="Calibri" w:hAnsi="Calibri"/>
          <w:sz w:val="20"/>
        </w:rPr>
        <w:t>Prediction of cost centre codes for non-PO invoice lines.</w:t>
      </w:r>
    </w:p>
    <w:p>
      <w:pPr>
        <w:pStyle w:val="ListBullet"/>
        <w:spacing w:after="80"/>
      </w:pPr>
      <w:r>
        <w:rPr>
          <w:rFonts w:ascii="Calibri" w:hAnsi="Calibri"/>
          <w:sz w:val="20"/>
        </w:rPr>
        <w:t>Prediction of tax codes for non-PO invoice lines.</w:t>
      </w:r>
    </w:p>
    <w:p>
      <w:pPr>
        <w:pStyle w:val="ListBullet"/>
        <w:spacing w:after="80"/>
      </w:pPr>
      <w:r>
        <w:rPr>
          <w:rFonts w:ascii="Calibri" w:hAnsi="Calibri"/>
          <w:sz w:val="20"/>
        </w:rPr>
        <w:t>Handling of invoices that require multiple coding rows or splits.</w:t>
      </w:r>
    </w:p>
    <w:p>
      <w:pPr>
        <w:pStyle w:val="ListBullet"/>
        <w:spacing w:after="80"/>
      </w:pPr>
      <w:r>
        <w:rPr>
          <w:rFonts w:ascii="Calibri" w:hAnsi="Calibri"/>
          <w:sz w:val="20"/>
        </w:rPr>
        <w:t>Vendor resolution and canonical identity matching.</w:t>
      </w:r>
    </w:p>
    <w:p>
      <w:pPr>
        <w:pStyle w:val="ListBullet"/>
        <w:spacing w:after="80"/>
      </w:pPr>
      <w:r>
        <w:rPr>
          <w:rFonts w:ascii="Calibri" w:hAnsi="Calibri"/>
          <w:sz w:val="20"/>
        </w:rPr>
        <w:t>Confidence scoring and threshold-based routing.</w:t>
      </w:r>
    </w:p>
    <w:p>
      <w:pPr>
        <w:pStyle w:val="ListBullet"/>
        <w:spacing w:after="80"/>
      </w:pPr>
      <w:r>
        <w:rPr>
          <w:rFonts w:ascii="Calibri" w:hAnsi="Calibri"/>
          <w:sz w:val="20"/>
        </w:rPr>
        <w:t>Human review queues for low-confidence or policy-flagged invoices.</w:t>
      </w:r>
    </w:p>
    <w:p>
      <w:pPr>
        <w:pStyle w:val="ListBullet"/>
        <w:spacing w:after="80"/>
      </w:pPr>
      <w:r>
        <w:rPr>
          <w:rFonts w:ascii="Calibri" w:hAnsi="Calibri"/>
          <w:sz w:val="20"/>
        </w:rPr>
        <w:t>Capture and indexing of confirmed outcomes for future retrieval.</w:t>
      </w:r>
    </w:p>
    <w:p>
      <w:pPr>
        <w:pStyle w:val="ListBullet"/>
        <w:spacing w:after="80"/>
      </w:pPr>
      <w:r>
        <w:rPr>
          <w:rFonts w:ascii="Calibri" w:hAnsi="Calibri"/>
          <w:sz w:val="20"/>
        </w:rPr>
        <w:t>Capture and indexing of human corrections.</w:t>
      </w:r>
    </w:p>
    <w:p>
      <w:pPr>
        <w:pStyle w:val="ListBullet"/>
        <w:spacing w:after="80"/>
      </w:pPr>
      <w:r>
        <w:rPr>
          <w:rFonts w:ascii="Calibri" w:hAnsi="Calibri"/>
          <w:sz w:val="20"/>
        </w:rPr>
        <w:t>Natural language input from finance staff and conversion to structured guidance.</w:t>
      </w:r>
    </w:p>
    <w:p>
      <w:pPr>
        <w:pStyle w:val="ListBullet"/>
        <w:spacing w:after="80"/>
      </w:pPr>
      <w:r>
        <w:rPr>
          <w:rFonts w:ascii="Calibri" w:hAnsi="Calibri"/>
          <w:sz w:val="20"/>
        </w:rPr>
        <w:t>Full audit traceability for every coding decision.</w:t>
      </w:r>
    </w:p>
    <w:p>
      <w:pPr>
        <w:pStyle w:val="ListBullet"/>
        <w:spacing w:after="80"/>
      </w:pPr>
      <w:r>
        <w:rPr>
          <w:rFonts w:ascii="Calibri" w:hAnsi="Calibri"/>
          <w:sz w:val="20"/>
        </w:rPr>
        <w:t>Graduated migration from the existing deterministic engine.</w:t>
      </w:r>
    </w:p>
    <w:p>
      <w:pPr>
        <w:pStyle w:val="ListBullet"/>
        <w:spacing w:after="80"/>
      </w:pPr>
      <w:r>
        <w:rPr>
          <w:rFonts w:ascii="Calibri" w:hAnsi="Calibri"/>
          <w:sz w:val="20"/>
        </w:rPr>
        <w:t>Shadow mode operation for validation before live use.</w:t>
      </w:r>
    </w:p>
    <w:p>
      <w:pPr>
        <w:pStyle w:val="ListBullet"/>
        <w:spacing w:after="80"/>
      </w:pPr>
      <w:r>
        <w:rPr>
          <w:rFonts w:ascii="Calibri" w:hAnsi="Calibri"/>
          <w:sz w:val="20"/>
        </w:rPr>
        <w:t>Reporting on automation rates, correction rates, and system accuracy.</w:t>
      </w:r>
    </w:p>
    <w:p>
      <w:pPr>
        <w:pStyle w:val="Heading2"/>
      </w:pPr>
      <w:r>
        <w:t>3.2 Out of Scope</w:t>
      </w:r>
    </w:p>
    <w:p>
      <w:pPr>
        <w:pStyle w:val="ListBullet"/>
        <w:spacing w:after="80"/>
      </w:pPr>
      <w:r>
        <w:rPr>
          <w:rFonts w:ascii="Calibri" w:hAnsi="Calibri"/>
          <w:sz w:val="20"/>
        </w:rPr>
        <w:t>Changes to the existing invoice extraction pipeline or OCR capabilities.</w:t>
      </w:r>
    </w:p>
    <w:p>
      <w:pPr>
        <w:pStyle w:val="ListBullet"/>
        <w:spacing w:after="80"/>
      </w:pPr>
      <w:r>
        <w:rPr>
          <w:rFonts w:ascii="Calibri" w:hAnsi="Calibri"/>
          <w:sz w:val="20"/>
        </w:rPr>
        <w:t>Purchase order matching, which remains a separate existing capability.</w:t>
      </w:r>
    </w:p>
    <w:p>
      <w:pPr>
        <w:pStyle w:val="ListBullet"/>
        <w:spacing w:after="80"/>
      </w:pPr>
      <w:r>
        <w:rPr>
          <w:rFonts w:ascii="Calibri" w:hAnsi="Calibri"/>
          <w:sz w:val="20"/>
        </w:rPr>
        <w:t>Tax calculation logic, which remains a separate existing capability.</w:t>
      </w:r>
    </w:p>
    <w:p>
      <w:pPr>
        <w:pStyle w:val="ListBullet"/>
        <w:spacing w:after="80"/>
      </w:pPr>
      <w:r>
        <w:rPr>
          <w:rFonts w:ascii="Calibri" w:hAnsi="Calibri"/>
          <w:sz w:val="20"/>
        </w:rPr>
        <w:t>Changes to the general ledger or chart of accounts structure in client ERP systems.</w:t>
      </w:r>
    </w:p>
    <w:p>
      <w:pPr>
        <w:pStyle w:val="ListBullet"/>
        <w:spacing w:after="80"/>
      </w:pPr>
      <w:r>
        <w:rPr>
          <w:rFonts w:ascii="Calibri" w:hAnsi="Calibri"/>
          <w:sz w:val="20"/>
        </w:rPr>
        <w:t>Real-time payment processing or payment authorization workflows.</w:t>
      </w:r>
    </w:p>
    <w:p>
      <w:pPr>
        <w:pStyle w:val="ListBullet"/>
        <w:spacing w:after="80"/>
      </w:pPr>
      <w:r>
        <w:rPr>
          <w:rFonts w:ascii="Calibri" w:hAnsi="Calibri"/>
          <w:sz w:val="20"/>
        </w:rPr>
        <w:t>Multi-language natural language processing beyond the languages currently supported.</w:t>
      </w:r>
    </w:p>
    <w:p>
      <w:pPr>
        <w:pStyle w:val="Heading2"/>
      </w:pPr>
      <w:r>
        <w:t>3.3 Boundaries and Interfaces</w:t>
      </w:r>
    </w:p>
    <w:p>
      <w:pPr>
        <w:spacing w:after="120"/>
      </w:pPr>
      <w:r>
        <w:rPr>
          <w:rFonts w:ascii="Calibri" w:hAnsi="Calibri"/>
          <w:b w:val="0"/>
          <w:i w:val="0"/>
          <w:sz w:val="20"/>
        </w:rPr>
        <w:t>The new system will consume structured invoice data from the existing extraction pipeline. It will output coding predictions that feed into the existing invoice posting workflow. It will interface with the existing document store for invoice images and with the existing database for master vendor data. It will not replace these systems but will add a new prediction and learning layer between extraction and posting.</w:t>
      </w:r>
    </w:p>
    <w:p>
      <w:pPr>
        <w:pStyle w:val="Heading1"/>
      </w:pPr>
      <w:r>
        <w:t>4. Business Requirements</w:t>
      </w:r>
    </w:p>
    <w:p>
      <w:pPr>
        <w:pStyle w:val="Heading2"/>
      </w:pPr>
      <w:r>
        <w:t>4.1 Invoice Ingestion and Data Preparation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BR-001</w:t>
            </w:r>
          </w:p>
        </w:tc>
        <w:tc>
          <w:tcPr>
            <w:tcW w:type="dxa" w:w="2160"/>
          </w:tcPr>
          <w:p>
            <w:r>
              <w:rPr>
                <w:rFonts w:ascii="Calibri" w:hAnsi="Calibri"/>
                <w:sz w:val="18"/>
              </w:rPr>
              <w:t>Receive structured invoice data from existing extraction pipeline without duplicate entry</w:t>
            </w:r>
          </w:p>
        </w:tc>
        <w:tc>
          <w:tcPr>
            <w:tcW w:type="dxa" w:w="2160"/>
          </w:tcPr>
          <w:p>
            <w:r>
              <w:rPr>
                <w:rFonts w:ascii="Calibri" w:hAnsi="Calibri"/>
                <w:sz w:val="18"/>
              </w:rPr>
              <w:t>Must</w:t>
            </w:r>
          </w:p>
        </w:tc>
        <w:tc>
          <w:tcPr>
            <w:tcW w:type="dxa" w:w="2160"/>
          </w:tcPr>
          <w:p>
            <w:r>
              <w:rPr>
                <w:rFonts w:ascii="Calibri" w:hAnsi="Calibri"/>
                <w:sz w:val="18"/>
              </w:rPr>
              <w:t>System consumes data via existing API</w:t>
            </w:r>
          </w:p>
        </w:tc>
      </w:tr>
      <w:tr>
        <w:tc>
          <w:tcPr>
            <w:tcW w:type="dxa" w:w="2160"/>
            <w:shd w:fill="F2F2F2"/>
          </w:tcPr>
          <w:p>
            <w:r>
              <w:rPr>
                <w:rFonts w:ascii="Calibri" w:hAnsi="Calibri"/>
                <w:sz w:val="18"/>
              </w:rPr>
              <w:t>BR-002</w:t>
            </w:r>
          </w:p>
        </w:tc>
        <w:tc>
          <w:tcPr>
            <w:tcW w:type="dxa" w:w="2160"/>
            <w:shd w:fill="F2F2F2"/>
          </w:tcPr>
          <w:p>
            <w:r>
              <w:rPr>
                <w:rFonts w:ascii="Calibri" w:hAnsi="Calibri"/>
                <w:sz w:val="18"/>
              </w:rPr>
              <w:t>Handle invoices with multiple line items, each coded independently</w:t>
            </w:r>
          </w:p>
        </w:tc>
        <w:tc>
          <w:tcPr>
            <w:tcW w:type="dxa" w:w="2160"/>
            <w:shd w:fill="F2F2F2"/>
          </w:tcPr>
          <w:p>
            <w:r>
              <w:rPr>
                <w:rFonts w:ascii="Calibri" w:hAnsi="Calibri"/>
                <w:sz w:val="18"/>
              </w:rPr>
              <w:t>Must</w:t>
            </w:r>
          </w:p>
        </w:tc>
        <w:tc>
          <w:tcPr>
            <w:tcW w:type="dxa" w:w="2160"/>
            <w:shd w:fill="F2F2F2"/>
          </w:tcPr>
          <w:p>
            <w:r>
              <w:rPr>
                <w:rFonts w:ascii="Calibri" w:hAnsi="Calibri"/>
                <w:sz w:val="18"/>
              </w:rPr>
              <w:t>Each line produces separate prediction</w:t>
            </w:r>
          </w:p>
        </w:tc>
      </w:tr>
      <w:tr>
        <w:tc>
          <w:tcPr>
            <w:tcW w:type="dxa" w:w="2160"/>
          </w:tcPr>
          <w:p>
            <w:r>
              <w:rPr>
                <w:rFonts w:ascii="Calibri" w:hAnsi="Calibri"/>
                <w:sz w:val="18"/>
              </w:rPr>
              <w:t>BR-003</w:t>
            </w:r>
          </w:p>
        </w:tc>
        <w:tc>
          <w:tcPr>
            <w:tcW w:type="dxa" w:w="2160"/>
          </w:tcPr>
          <w:p>
            <w:r>
              <w:rPr>
                <w:rFonts w:ascii="Calibri" w:hAnsi="Calibri"/>
                <w:sz w:val="18"/>
              </w:rPr>
              <w:t>Handle invoices in multiple currencies with normalized amounts</w:t>
            </w:r>
          </w:p>
        </w:tc>
        <w:tc>
          <w:tcPr>
            <w:tcW w:type="dxa" w:w="2160"/>
          </w:tcPr>
          <w:p>
            <w:r>
              <w:rPr>
                <w:rFonts w:ascii="Calibri" w:hAnsi="Calibri"/>
                <w:sz w:val="18"/>
              </w:rPr>
              <w:t>Must</w:t>
            </w:r>
          </w:p>
        </w:tc>
        <w:tc>
          <w:tcPr>
            <w:tcW w:type="dxa" w:w="2160"/>
          </w:tcPr>
          <w:p>
            <w:r>
              <w:rPr>
                <w:rFonts w:ascii="Calibri" w:hAnsi="Calibri"/>
                <w:sz w:val="18"/>
              </w:rPr>
              <w:t>Amounts normalized to base currency</w:t>
            </w:r>
          </w:p>
        </w:tc>
      </w:tr>
      <w:tr>
        <w:tc>
          <w:tcPr>
            <w:tcW w:type="dxa" w:w="2160"/>
            <w:shd w:fill="F2F2F2"/>
          </w:tcPr>
          <w:p>
            <w:r>
              <w:rPr>
                <w:rFonts w:ascii="Calibri" w:hAnsi="Calibri"/>
                <w:sz w:val="18"/>
              </w:rPr>
              <w:t>BR-004</w:t>
            </w:r>
          </w:p>
        </w:tc>
        <w:tc>
          <w:tcPr>
            <w:tcW w:type="dxa" w:w="2160"/>
            <w:shd w:fill="F2F2F2"/>
          </w:tcPr>
          <w:p>
            <w:r>
              <w:rPr>
                <w:rFonts w:ascii="Calibri" w:hAnsi="Calibri"/>
                <w:sz w:val="18"/>
              </w:rPr>
              <w:t>Process invoices across multiple legal entities without mixing data</w:t>
            </w:r>
          </w:p>
        </w:tc>
        <w:tc>
          <w:tcPr>
            <w:tcW w:type="dxa" w:w="2160"/>
            <w:shd w:fill="F2F2F2"/>
          </w:tcPr>
          <w:p>
            <w:r>
              <w:rPr>
                <w:rFonts w:ascii="Calibri" w:hAnsi="Calibri"/>
                <w:sz w:val="18"/>
              </w:rPr>
              <w:t>Must</w:t>
            </w:r>
          </w:p>
        </w:tc>
        <w:tc>
          <w:tcPr>
            <w:tcW w:type="dxa" w:w="2160"/>
            <w:shd w:fill="F2F2F2"/>
          </w:tcPr>
          <w:p>
            <w:r>
              <w:rPr>
                <w:rFonts w:ascii="Calibri" w:hAnsi="Calibri"/>
                <w:sz w:val="18"/>
              </w:rPr>
              <w:t>Retrieval filtered by entity ID</w:t>
            </w:r>
          </w:p>
        </w:tc>
      </w:tr>
      <w:tr>
        <w:tc>
          <w:tcPr>
            <w:tcW w:type="dxa" w:w="2160"/>
          </w:tcPr>
          <w:p>
            <w:r>
              <w:rPr>
                <w:rFonts w:ascii="Calibri" w:hAnsi="Calibri"/>
                <w:sz w:val="18"/>
              </w:rPr>
              <w:t>BR-005</w:t>
            </w:r>
          </w:p>
        </w:tc>
        <w:tc>
          <w:tcPr>
            <w:tcW w:type="dxa" w:w="2160"/>
          </w:tcPr>
          <w:p>
            <w:r>
              <w:rPr>
                <w:rFonts w:ascii="Calibri" w:hAnsi="Calibri"/>
                <w:sz w:val="18"/>
              </w:rPr>
              <w:t>Identify and route only non-PO invoices; PO invoices flow to existing matching</w:t>
            </w:r>
          </w:p>
        </w:tc>
        <w:tc>
          <w:tcPr>
            <w:tcW w:type="dxa" w:w="2160"/>
          </w:tcPr>
          <w:p>
            <w:r>
              <w:rPr>
                <w:rFonts w:ascii="Calibri" w:hAnsi="Calibri"/>
                <w:sz w:val="18"/>
              </w:rPr>
              <w:t>Must</w:t>
            </w:r>
          </w:p>
        </w:tc>
        <w:tc>
          <w:tcPr>
            <w:tcW w:type="dxa" w:w="2160"/>
          </w:tcPr>
          <w:p>
            <w:r>
              <w:rPr>
                <w:rFonts w:ascii="Calibri" w:hAnsi="Calibri"/>
                <w:sz w:val="18"/>
              </w:rPr>
              <w:t>PO reference check routes correctly</w:t>
            </w:r>
          </w:p>
        </w:tc>
      </w:tr>
      <w:tr>
        <w:tc>
          <w:tcPr>
            <w:tcW w:type="dxa" w:w="2160"/>
            <w:shd w:fill="F2F2F2"/>
          </w:tcPr>
          <w:p>
            <w:r>
              <w:rPr>
                <w:rFonts w:ascii="Calibri" w:hAnsi="Calibri"/>
                <w:sz w:val="18"/>
              </w:rPr>
              <w:t>BR-006</w:t>
            </w:r>
          </w:p>
        </w:tc>
        <w:tc>
          <w:tcPr>
            <w:tcW w:type="dxa" w:w="2160"/>
            <w:shd w:fill="F2F2F2"/>
          </w:tcPr>
          <w:p>
            <w:r>
              <w:rPr>
                <w:rFonts w:ascii="Calibri" w:hAnsi="Calibri"/>
                <w:sz w:val="18"/>
              </w:rPr>
              <w:t>Handle vendor name variations and aliases</w:t>
            </w:r>
          </w:p>
        </w:tc>
        <w:tc>
          <w:tcPr>
            <w:tcW w:type="dxa" w:w="2160"/>
            <w:shd w:fill="F2F2F2"/>
          </w:tcPr>
          <w:p>
            <w:r>
              <w:rPr>
                <w:rFonts w:ascii="Calibri" w:hAnsi="Calibri"/>
                <w:sz w:val="18"/>
              </w:rPr>
              <w:t>Should</w:t>
            </w:r>
          </w:p>
        </w:tc>
        <w:tc>
          <w:tcPr>
            <w:tcW w:type="dxa" w:w="2160"/>
            <w:shd w:fill="F2F2F2"/>
          </w:tcPr>
          <w:p>
            <w:r>
              <w:rPr>
                <w:rFonts w:ascii="Calibri" w:hAnsi="Calibri"/>
                <w:sz w:val="18"/>
              </w:rPr>
              <w:t>Fuzzy matching above 0.85</w:t>
            </w:r>
          </w:p>
        </w:tc>
      </w:tr>
      <w:tr>
        <w:tc>
          <w:tcPr>
            <w:tcW w:type="dxa" w:w="2160"/>
          </w:tcPr>
          <w:p>
            <w:r>
              <w:rPr>
                <w:rFonts w:ascii="Calibri" w:hAnsi="Calibri"/>
                <w:sz w:val="18"/>
              </w:rPr>
              <w:t>BR-007</w:t>
            </w:r>
          </w:p>
        </w:tc>
        <w:tc>
          <w:tcPr>
            <w:tcW w:type="dxa" w:w="2160"/>
          </w:tcPr>
          <w:p>
            <w:r>
              <w:rPr>
                <w:rFonts w:ascii="Calibri" w:hAnsi="Calibri"/>
                <w:sz w:val="18"/>
              </w:rPr>
              <w:t>Flag invoices with missing vendor, amount, or description</w:t>
            </w:r>
          </w:p>
        </w:tc>
        <w:tc>
          <w:tcPr>
            <w:tcW w:type="dxa" w:w="2160"/>
          </w:tcPr>
          <w:p>
            <w:r>
              <w:rPr>
                <w:rFonts w:ascii="Calibri" w:hAnsi="Calibri"/>
                <w:sz w:val="18"/>
              </w:rPr>
              <w:t>Must</w:t>
            </w:r>
          </w:p>
        </w:tc>
        <w:tc>
          <w:tcPr>
            <w:tcW w:type="dxa" w:w="2160"/>
          </w:tcPr>
          <w:p>
            <w:r>
              <w:rPr>
                <w:rFonts w:ascii="Calibri" w:hAnsi="Calibri"/>
                <w:sz w:val="18"/>
              </w:rPr>
              <w:t>Route to review with reason code</w:t>
            </w:r>
          </w:p>
        </w:tc>
      </w:tr>
      <w:tr>
        <w:tc>
          <w:tcPr>
            <w:tcW w:type="dxa" w:w="2160"/>
            <w:shd w:fill="F2F2F2"/>
          </w:tcPr>
          <w:p>
            <w:r>
              <w:rPr>
                <w:rFonts w:ascii="Calibri" w:hAnsi="Calibri"/>
                <w:sz w:val="18"/>
              </w:rPr>
              <w:t>BR-008</w:t>
            </w:r>
          </w:p>
        </w:tc>
        <w:tc>
          <w:tcPr>
            <w:tcW w:type="dxa" w:w="2160"/>
            <w:shd w:fill="F2F2F2"/>
          </w:tcPr>
          <w:p>
            <w:r>
              <w:rPr>
                <w:rFonts w:ascii="Calibri" w:hAnsi="Calibri"/>
                <w:sz w:val="18"/>
              </w:rPr>
              <w:t>Ignore handwritten notes without confusion</w:t>
            </w:r>
          </w:p>
        </w:tc>
        <w:tc>
          <w:tcPr>
            <w:tcW w:type="dxa" w:w="2160"/>
            <w:shd w:fill="F2F2F2"/>
          </w:tcPr>
          <w:p>
            <w:r>
              <w:rPr>
                <w:rFonts w:ascii="Calibri" w:hAnsi="Calibri"/>
                <w:sz w:val="18"/>
              </w:rPr>
              <w:t>Should</w:t>
            </w:r>
          </w:p>
        </w:tc>
        <w:tc>
          <w:tcPr>
            <w:tcW w:type="dxa" w:w="2160"/>
            <w:shd w:fill="F2F2F2"/>
          </w:tcPr>
          <w:p>
            <w:r>
              <w:rPr>
                <w:rFonts w:ascii="Calibri" w:hAnsi="Calibri"/>
                <w:sz w:val="18"/>
              </w:rPr>
              <w:t>Noise filtering applied</w:t>
            </w:r>
          </w:p>
        </w:tc>
      </w:tr>
      <w:tr>
        <w:tc>
          <w:tcPr>
            <w:tcW w:type="dxa" w:w="2160"/>
          </w:tcPr>
          <w:p>
            <w:r>
              <w:rPr>
                <w:rFonts w:ascii="Calibri" w:hAnsi="Calibri"/>
                <w:sz w:val="18"/>
              </w:rPr>
              <w:t>BR-009</w:t>
            </w:r>
          </w:p>
        </w:tc>
        <w:tc>
          <w:tcPr>
            <w:tcW w:type="dxa" w:w="2160"/>
          </w:tcPr>
          <w:p>
            <w:r>
              <w:rPr>
                <w:rFonts w:ascii="Calibri" w:hAnsi="Calibri"/>
                <w:sz w:val="18"/>
              </w:rPr>
              <w:t>Handle credit notes distinct from standard invoices</w:t>
            </w:r>
          </w:p>
        </w:tc>
        <w:tc>
          <w:tcPr>
            <w:tcW w:type="dxa" w:w="2160"/>
          </w:tcPr>
          <w:p>
            <w:r>
              <w:rPr>
                <w:rFonts w:ascii="Calibri" w:hAnsi="Calibri"/>
                <w:sz w:val="18"/>
              </w:rPr>
              <w:t>Must</w:t>
            </w:r>
          </w:p>
        </w:tc>
        <w:tc>
          <w:tcPr>
            <w:tcW w:type="dxa" w:w="2160"/>
          </w:tcPr>
          <w:p>
            <w:r>
              <w:rPr>
                <w:rFonts w:ascii="Calibri" w:hAnsi="Calibri"/>
                <w:sz w:val="18"/>
              </w:rPr>
              <w:t>Credit notes routed appropriately</w:t>
            </w:r>
          </w:p>
        </w:tc>
      </w:tr>
      <w:tr>
        <w:tc>
          <w:tcPr>
            <w:tcW w:type="dxa" w:w="2160"/>
            <w:shd w:fill="F2F2F2"/>
          </w:tcPr>
          <w:p>
            <w:r>
              <w:rPr>
                <w:rFonts w:ascii="Calibri" w:hAnsi="Calibri"/>
                <w:sz w:val="18"/>
              </w:rPr>
              <w:t>BR-010</w:t>
            </w:r>
          </w:p>
        </w:tc>
        <w:tc>
          <w:tcPr>
            <w:tcW w:type="dxa" w:w="2160"/>
            <w:shd w:fill="F2F2F2"/>
          </w:tcPr>
          <w:p>
            <w:r>
              <w:rPr>
                <w:rFonts w:ascii="Calibri" w:hAnsi="Calibri"/>
                <w:sz w:val="18"/>
              </w:rPr>
              <w:t>Handle recurring invoices differently from one-off</w:t>
            </w:r>
          </w:p>
        </w:tc>
        <w:tc>
          <w:tcPr>
            <w:tcW w:type="dxa" w:w="2160"/>
            <w:shd w:fill="F2F2F2"/>
          </w:tcPr>
          <w:p>
            <w:r>
              <w:rPr>
                <w:rFonts w:ascii="Calibri" w:hAnsi="Calibri"/>
                <w:sz w:val="18"/>
              </w:rPr>
              <w:t>Should</w:t>
            </w:r>
          </w:p>
        </w:tc>
        <w:tc>
          <w:tcPr>
            <w:tcW w:type="dxa" w:w="2160"/>
            <w:shd w:fill="F2F2F2"/>
          </w:tcPr>
          <w:p>
            <w:r>
              <w:rPr>
                <w:rFonts w:ascii="Calibri" w:hAnsi="Calibri"/>
                <w:sz w:val="18"/>
              </w:rPr>
              <w:t>Recurring tagged and weighted</w:t>
            </w:r>
          </w:p>
        </w:tc>
      </w:tr>
    </w:tbl>
    <w:p/>
    <w:p>
      <w:pPr>
        <w:pStyle w:val="Heading2"/>
      </w:pPr>
      <w:r>
        <w:t>4.2 Vendor Resolution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BR-011</w:t>
            </w:r>
          </w:p>
        </w:tc>
        <w:tc>
          <w:tcPr>
            <w:tcW w:type="dxa" w:w="2160"/>
          </w:tcPr>
          <w:p>
            <w:r>
              <w:rPr>
                <w:rFonts w:ascii="Calibri" w:hAnsi="Calibri"/>
                <w:sz w:val="18"/>
              </w:rPr>
              <w:t>Resolve raw vendor names to a canonical identity</w:t>
            </w:r>
          </w:p>
        </w:tc>
        <w:tc>
          <w:tcPr>
            <w:tcW w:type="dxa" w:w="2160"/>
          </w:tcPr>
          <w:p>
            <w:r>
              <w:rPr>
                <w:rFonts w:ascii="Calibri" w:hAnsi="Calibri"/>
                <w:sz w:val="18"/>
              </w:rPr>
              <w:t>Must</w:t>
            </w:r>
          </w:p>
        </w:tc>
        <w:tc>
          <w:tcPr>
            <w:tcW w:type="dxa" w:w="2160"/>
          </w:tcPr>
          <w:p>
            <w:r>
              <w:rPr>
                <w:rFonts w:ascii="Calibri" w:hAnsi="Calibri"/>
                <w:sz w:val="18"/>
              </w:rPr>
              <w:t>Match rate exceeds 95% for top 500 vendors</w:t>
            </w:r>
          </w:p>
        </w:tc>
      </w:tr>
      <w:tr>
        <w:tc>
          <w:tcPr>
            <w:tcW w:type="dxa" w:w="2160"/>
            <w:shd w:fill="F2F2F2"/>
          </w:tcPr>
          <w:p>
            <w:r>
              <w:rPr>
                <w:rFonts w:ascii="Calibri" w:hAnsi="Calibri"/>
                <w:sz w:val="18"/>
              </w:rPr>
              <w:t>BR-012</w:t>
            </w:r>
          </w:p>
        </w:tc>
        <w:tc>
          <w:tcPr>
            <w:tcW w:type="dxa" w:w="2160"/>
            <w:shd w:fill="F2F2F2"/>
          </w:tcPr>
          <w:p>
            <w:r>
              <w:rPr>
                <w:rFonts w:ascii="Calibri" w:hAnsi="Calibri"/>
                <w:sz w:val="18"/>
              </w:rPr>
              <w:t>Handle vendor name variations, abbreviations, and trading names</w:t>
            </w:r>
          </w:p>
        </w:tc>
        <w:tc>
          <w:tcPr>
            <w:tcW w:type="dxa" w:w="2160"/>
            <w:shd w:fill="F2F2F2"/>
          </w:tcPr>
          <w:p>
            <w:r>
              <w:rPr>
                <w:rFonts w:ascii="Calibri" w:hAnsi="Calibri"/>
                <w:sz w:val="18"/>
              </w:rPr>
              <w:t>Must</w:t>
            </w:r>
          </w:p>
        </w:tc>
        <w:tc>
          <w:tcPr>
            <w:tcW w:type="dxa" w:w="2160"/>
            <w:shd w:fill="F2F2F2"/>
          </w:tcPr>
          <w:p>
            <w:r>
              <w:rPr>
                <w:rFonts w:ascii="Calibri" w:hAnsi="Calibri"/>
                <w:sz w:val="18"/>
              </w:rPr>
              <w:t>Alias table covers known variations</w:t>
            </w:r>
          </w:p>
        </w:tc>
      </w:tr>
      <w:tr>
        <w:tc>
          <w:tcPr>
            <w:tcW w:type="dxa" w:w="2160"/>
          </w:tcPr>
          <w:p>
            <w:r>
              <w:rPr>
                <w:rFonts w:ascii="Calibri" w:hAnsi="Calibri"/>
                <w:sz w:val="18"/>
              </w:rPr>
              <w:t>BR-013</w:t>
            </w:r>
          </w:p>
        </w:tc>
        <w:tc>
          <w:tcPr>
            <w:tcW w:type="dxa" w:w="2160"/>
          </w:tcPr>
          <w:p>
            <w:r>
              <w:rPr>
                <w:rFonts w:ascii="Calibri" w:hAnsi="Calibri"/>
                <w:sz w:val="18"/>
              </w:rPr>
              <w:t>Handle vendor acquisitions where legal name changed</w:t>
            </w:r>
          </w:p>
        </w:tc>
        <w:tc>
          <w:tcPr>
            <w:tcW w:type="dxa" w:w="2160"/>
          </w:tcPr>
          <w:p>
            <w:r>
              <w:rPr>
                <w:rFonts w:ascii="Calibri" w:hAnsi="Calibri"/>
                <w:sz w:val="18"/>
              </w:rPr>
              <w:t>Should</w:t>
            </w:r>
          </w:p>
        </w:tc>
        <w:tc>
          <w:tcPr>
            <w:tcW w:type="dxa" w:w="2160"/>
          </w:tcPr>
          <w:p>
            <w:r>
              <w:rPr>
                <w:rFonts w:ascii="Calibri" w:hAnsi="Calibri"/>
                <w:sz w:val="18"/>
              </w:rPr>
              <w:t>Acquisition mappings with effective dates</w:t>
            </w:r>
          </w:p>
        </w:tc>
      </w:tr>
      <w:tr>
        <w:tc>
          <w:tcPr>
            <w:tcW w:type="dxa" w:w="2160"/>
            <w:shd w:fill="F2F2F2"/>
          </w:tcPr>
          <w:p>
            <w:r>
              <w:rPr>
                <w:rFonts w:ascii="Calibri" w:hAnsi="Calibri"/>
                <w:sz w:val="18"/>
              </w:rPr>
              <w:t>BR-014</w:t>
            </w:r>
          </w:p>
        </w:tc>
        <w:tc>
          <w:tcPr>
            <w:tcW w:type="dxa" w:w="2160"/>
            <w:shd w:fill="F2F2F2"/>
          </w:tcPr>
          <w:p>
            <w:r>
              <w:rPr>
                <w:rFonts w:ascii="Calibri" w:hAnsi="Calibri"/>
                <w:sz w:val="18"/>
              </w:rPr>
              <w:t>Flag invoices where vendor resolution fails</w:t>
            </w:r>
          </w:p>
        </w:tc>
        <w:tc>
          <w:tcPr>
            <w:tcW w:type="dxa" w:w="2160"/>
            <w:shd w:fill="F2F2F2"/>
          </w:tcPr>
          <w:p>
            <w:r>
              <w:rPr>
                <w:rFonts w:ascii="Calibri" w:hAnsi="Calibri"/>
                <w:sz w:val="18"/>
              </w:rPr>
              <w:t>Must</w:t>
            </w:r>
          </w:p>
        </w:tc>
        <w:tc>
          <w:tcPr>
            <w:tcW w:type="dxa" w:w="2160"/>
            <w:shd w:fill="F2F2F2"/>
          </w:tcPr>
          <w:p>
            <w:r>
              <w:rPr>
                <w:rFonts w:ascii="Calibri" w:hAnsi="Calibri"/>
                <w:sz w:val="18"/>
              </w:rPr>
              <w:t>Low confidence triggers review with reason</w:t>
            </w:r>
          </w:p>
        </w:tc>
      </w:tr>
      <w:tr>
        <w:tc>
          <w:tcPr>
            <w:tcW w:type="dxa" w:w="2160"/>
          </w:tcPr>
          <w:p>
            <w:r>
              <w:rPr>
                <w:rFonts w:ascii="Calibri" w:hAnsi="Calibri"/>
                <w:sz w:val="18"/>
              </w:rPr>
              <w:t>BR-015</w:t>
            </w:r>
          </w:p>
        </w:tc>
        <w:tc>
          <w:tcPr>
            <w:tcW w:type="dxa" w:w="2160"/>
          </w:tcPr>
          <w:p>
            <w:r>
              <w:rPr>
                <w:rFonts w:ascii="Calibri" w:hAnsi="Calibri"/>
                <w:sz w:val="18"/>
              </w:rPr>
              <w:t>Prevent cross-entity vendor confusion</w:t>
            </w:r>
          </w:p>
        </w:tc>
        <w:tc>
          <w:tcPr>
            <w:tcW w:type="dxa" w:w="2160"/>
          </w:tcPr>
          <w:p>
            <w:r>
              <w:rPr>
                <w:rFonts w:ascii="Calibri" w:hAnsi="Calibri"/>
                <w:sz w:val="18"/>
              </w:rPr>
              <w:t>Must</w:t>
            </w:r>
          </w:p>
        </w:tc>
        <w:tc>
          <w:tcPr>
            <w:tcW w:type="dxa" w:w="2160"/>
          </w:tcPr>
          <w:p>
            <w:r>
              <w:rPr>
                <w:rFonts w:ascii="Calibri" w:hAnsi="Calibri"/>
                <w:sz w:val="18"/>
              </w:rPr>
              <w:t>Entity isolation enforced</w:t>
            </w:r>
          </w:p>
        </w:tc>
      </w:tr>
      <w:tr>
        <w:tc>
          <w:tcPr>
            <w:tcW w:type="dxa" w:w="2160"/>
            <w:shd w:fill="F2F2F2"/>
          </w:tcPr>
          <w:p>
            <w:r>
              <w:rPr>
                <w:rFonts w:ascii="Calibri" w:hAnsi="Calibri"/>
                <w:sz w:val="18"/>
              </w:rPr>
              <w:t>BR-016</w:t>
            </w:r>
          </w:p>
        </w:tc>
        <w:tc>
          <w:tcPr>
            <w:tcW w:type="dxa" w:w="2160"/>
            <w:shd w:fill="F2F2F2"/>
          </w:tcPr>
          <w:p>
            <w:r>
              <w:rPr>
                <w:rFonts w:ascii="Calibri" w:hAnsi="Calibri"/>
                <w:sz w:val="18"/>
              </w:rPr>
              <w:t>Maintain master vendor record separate from prediction system</w:t>
            </w:r>
          </w:p>
        </w:tc>
        <w:tc>
          <w:tcPr>
            <w:tcW w:type="dxa" w:w="2160"/>
            <w:shd w:fill="F2F2F2"/>
          </w:tcPr>
          <w:p>
            <w:r>
              <w:rPr>
                <w:rFonts w:ascii="Calibri" w:hAnsi="Calibri"/>
                <w:sz w:val="18"/>
              </w:rPr>
              <w:t>Must</w:t>
            </w:r>
          </w:p>
        </w:tc>
        <w:tc>
          <w:tcPr>
            <w:tcW w:type="dxa" w:w="2160"/>
            <w:shd w:fill="F2F2F2"/>
          </w:tcPr>
          <w:p>
            <w:r>
              <w:rPr>
                <w:rFonts w:ascii="Calibri" w:hAnsi="Calibri"/>
                <w:sz w:val="18"/>
              </w:rPr>
              <w:t>MDM service is distinct</w:t>
            </w:r>
          </w:p>
        </w:tc>
      </w:tr>
      <w:tr>
        <w:tc>
          <w:tcPr>
            <w:tcW w:type="dxa" w:w="2160"/>
          </w:tcPr>
          <w:p>
            <w:r>
              <w:rPr>
                <w:rFonts w:ascii="Calibri" w:hAnsi="Calibri"/>
                <w:sz w:val="18"/>
              </w:rPr>
              <w:t>BR-017</w:t>
            </w:r>
          </w:p>
        </w:tc>
        <w:tc>
          <w:tcPr>
            <w:tcW w:type="dxa" w:w="2160"/>
          </w:tcPr>
          <w:p>
            <w:r>
              <w:rPr>
                <w:rFonts w:ascii="Calibri" w:hAnsi="Calibri"/>
                <w:sz w:val="18"/>
              </w:rPr>
              <w:t>Handle new vendors not in master record</w:t>
            </w:r>
          </w:p>
        </w:tc>
        <w:tc>
          <w:tcPr>
            <w:tcW w:type="dxa" w:w="2160"/>
          </w:tcPr>
          <w:p>
            <w:r>
              <w:rPr>
                <w:rFonts w:ascii="Calibri" w:hAnsi="Calibri"/>
                <w:sz w:val="18"/>
              </w:rPr>
              <w:t>Should</w:t>
            </w:r>
          </w:p>
        </w:tc>
        <w:tc>
          <w:tcPr>
            <w:tcW w:type="dxa" w:w="2160"/>
          </w:tcPr>
          <w:p>
            <w:r>
              <w:rPr>
                <w:rFonts w:ascii="Calibri" w:hAnsi="Calibri"/>
                <w:sz w:val="18"/>
              </w:rPr>
              <w:t>New vendors route to review for registration</w:t>
            </w:r>
          </w:p>
        </w:tc>
      </w:tr>
      <w:tr>
        <w:tc>
          <w:tcPr>
            <w:tcW w:type="dxa" w:w="2160"/>
            <w:shd w:fill="F2F2F2"/>
          </w:tcPr>
          <w:p>
            <w:r>
              <w:rPr>
                <w:rFonts w:ascii="Calibri" w:hAnsi="Calibri"/>
                <w:sz w:val="18"/>
              </w:rPr>
              <w:t>BR-018</w:t>
            </w:r>
          </w:p>
        </w:tc>
        <w:tc>
          <w:tcPr>
            <w:tcW w:type="dxa" w:w="2160"/>
            <w:shd w:fill="F2F2F2"/>
          </w:tcPr>
          <w:p>
            <w:r>
              <w:rPr>
                <w:rFonts w:ascii="Calibri" w:hAnsi="Calibri"/>
                <w:sz w:val="18"/>
              </w:rPr>
              <w:t>Match subsidiary invoices to parent company where appropriate</w:t>
            </w:r>
          </w:p>
        </w:tc>
        <w:tc>
          <w:tcPr>
            <w:tcW w:type="dxa" w:w="2160"/>
            <w:shd w:fill="F2F2F2"/>
          </w:tcPr>
          <w:p>
            <w:r>
              <w:rPr>
                <w:rFonts w:ascii="Calibri" w:hAnsi="Calibri"/>
                <w:sz w:val="18"/>
              </w:rPr>
              <w:t>Should</w:t>
            </w:r>
          </w:p>
        </w:tc>
        <w:tc>
          <w:tcPr>
            <w:tcW w:type="dxa" w:w="2160"/>
            <w:shd w:fill="F2F2F2"/>
          </w:tcPr>
          <w:p>
            <w:r>
              <w:rPr>
                <w:rFonts w:ascii="Calibri" w:hAnsi="Calibri"/>
                <w:sz w:val="18"/>
              </w:rPr>
              <w:t>Parent-subsidiary hierarchy respected</w:t>
            </w:r>
          </w:p>
        </w:tc>
      </w:tr>
    </w:tbl>
    <w:p/>
    <w:p>
      <w:pPr>
        <w:pStyle w:val="Heading2"/>
      </w:pPr>
      <w:r>
        <w:t>4.3 Prediction and Coding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BR-019</w:t>
            </w:r>
          </w:p>
        </w:tc>
        <w:tc>
          <w:tcPr>
            <w:tcW w:type="dxa" w:w="2160"/>
          </w:tcPr>
          <w:p>
            <w:r>
              <w:rPr>
                <w:rFonts w:ascii="Calibri" w:hAnsi="Calibri"/>
                <w:sz w:val="18"/>
              </w:rPr>
              <w:t>Predict general ledger account codes for non-PO lines</w:t>
            </w:r>
          </w:p>
        </w:tc>
        <w:tc>
          <w:tcPr>
            <w:tcW w:type="dxa" w:w="2160"/>
          </w:tcPr>
          <w:p>
            <w:r>
              <w:rPr>
                <w:rFonts w:ascii="Calibri" w:hAnsi="Calibri"/>
                <w:sz w:val="18"/>
              </w:rPr>
              <w:t>Must</w:t>
            </w:r>
          </w:p>
        </w:tc>
        <w:tc>
          <w:tcPr>
            <w:tcW w:type="dxa" w:w="2160"/>
          </w:tcPr>
          <w:p>
            <w:r>
              <w:rPr>
                <w:rFonts w:ascii="Calibri" w:hAnsi="Calibri"/>
                <w:sz w:val="18"/>
              </w:rPr>
              <w:t>Accuracy exceeds baseline within 90 days</w:t>
            </w:r>
          </w:p>
        </w:tc>
      </w:tr>
      <w:tr>
        <w:tc>
          <w:tcPr>
            <w:tcW w:type="dxa" w:w="2160"/>
            <w:shd w:fill="F2F2F2"/>
          </w:tcPr>
          <w:p>
            <w:r>
              <w:rPr>
                <w:rFonts w:ascii="Calibri" w:hAnsi="Calibri"/>
                <w:sz w:val="18"/>
              </w:rPr>
              <w:t>BR-020</w:t>
            </w:r>
          </w:p>
        </w:tc>
        <w:tc>
          <w:tcPr>
            <w:tcW w:type="dxa" w:w="2160"/>
            <w:shd w:fill="F2F2F2"/>
          </w:tcPr>
          <w:p>
            <w:r>
              <w:rPr>
                <w:rFonts w:ascii="Calibri" w:hAnsi="Calibri"/>
                <w:sz w:val="18"/>
              </w:rPr>
              <w:t>Predict cost centre codes for non-PO lines</w:t>
            </w:r>
          </w:p>
        </w:tc>
        <w:tc>
          <w:tcPr>
            <w:tcW w:type="dxa" w:w="2160"/>
            <w:shd w:fill="F2F2F2"/>
          </w:tcPr>
          <w:p>
            <w:r>
              <w:rPr>
                <w:rFonts w:ascii="Calibri" w:hAnsi="Calibri"/>
                <w:sz w:val="18"/>
              </w:rPr>
              <w:t>Must</w:t>
            </w:r>
          </w:p>
        </w:tc>
        <w:tc>
          <w:tcPr>
            <w:tcW w:type="dxa" w:w="2160"/>
            <w:shd w:fill="F2F2F2"/>
          </w:tcPr>
          <w:p>
            <w:r>
              <w:rPr>
                <w:rFonts w:ascii="Calibri" w:hAnsi="Calibri"/>
                <w:sz w:val="18"/>
              </w:rPr>
              <w:t>Accuracy exceeds baseline within 90 days</w:t>
            </w:r>
          </w:p>
        </w:tc>
      </w:tr>
      <w:tr>
        <w:tc>
          <w:tcPr>
            <w:tcW w:type="dxa" w:w="2160"/>
          </w:tcPr>
          <w:p>
            <w:r>
              <w:rPr>
                <w:rFonts w:ascii="Calibri" w:hAnsi="Calibri"/>
                <w:sz w:val="18"/>
              </w:rPr>
              <w:t>BR-021</w:t>
            </w:r>
          </w:p>
        </w:tc>
        <w:tc>
          <w:tcPr>
            <w:tcW w:type="dxa" w:w="2160"/>
          </w:tcPr>
          <w:p>
            <w:r>
              <w:rPr>
                <w:rFonts w:ascii="Calibri" w:hAnsi="Calibri"/>
                <w:sz w:val="18"/>
              </w:rPr>
              <w:t>Predict tax codes for non-PO lines</w:t>
            </w:r>
          </w:p>
        </w:tc>
        <w:tc>
          <w:tcPr>
            <w:tcW w:type="dxa" w:w="2160"/>
          </w:tcPr>
          <w:p>
            <w:r>
              <w:rPr>
                <w:rFonts w:ascii="Calibri" w:hAnsi="Calibri"/>
                <w:sz w:val="18"/>
              </w:rPr>
              <w:t>Must</w:t>
            </w:r>
          </w:p>
        </w:tc>
        <w:tc>
          <w:tcPr>
            <w:tcW w:type="dxa" w:w="2160"/>
          </w:tcPr>
          <w:p>
            <w:r>
              <w:rPr>
                <w:rFonts w:ascii="Calibri" w:hAnsi="Calibri"/>
                <w:sz w:val="18"/>
              </w:rPr>
              <w:t>Accuracy exceeds baseline within 90 days</w:t>
            </w:r>
          </w:p>
        </w:tc>
      </w:tr>
      <w:tr>
        <w:tc>
          <w:tcPr>
            <w:tcW w:type="dxa" w:w="2160"/>
            <w:shd w:fill="F2F2F2"/>
          </w:tcPr>
          <w:p>
            <w:r>
              <w:rPr>
                <w:rFonts w:ascii="Calibri" w:hAnsi="Calibri"/>
                <w:sz w:val="18"/>
              </w:rPr>
              <w:t>BR-022</w:t>
            </w:r>
          </w:p>
        </w:tc>
        <w:tc>
          <w:tcPr>
            <w:tcW w:type="dxa" w:w="2160"/>
            <w:shd w:fill="F2F2F2"/>
          </w:tcPr>
          <w:p>
            <w:r>
              <w:rPr>
                <w:rFonts w:ascii="Calibri" w:hAnsi="Calibri"/>
                <w:sz w:val="18"/>
              </w:rPr>
              <w:t>Handle invoices requiring multiple coding rows</w:t>
            </w:r>
          </w:p>
        </w:tc>
        <w:tc>
          <w:tcPr>
            <w:tcW w:type="dxa" w:w="2160"/>
            <w:shd w:fill="F2F2F2"/>
          </w:tcPr>
          <w:p>
            <w:r>
              <w:rPr>
                <w:rFonts w:ascii="Calibri" w:hAnsi="Calibri"/>
                <w:sz w:val="18"/>
              </w:rPr>
              <w:t>Must</w:t>
            </w:r>
          </w:p>
        </w:tc>
        <w:tc>
          <w:tcPr>
            <w:tcW w:type="dxa" w:w="2160"/>
            <w:shd w:fill="F2F2F2"/>
          </w:tcPr>
          <w:p>
            <w:r>
              <w:rPr>
                <w:rFonts w:ascii="Calibri" w:hAnsi="Calibri"/>
                <w:sz w:val="18"/>
              </w:rPr>
              <w:t>Multi-row predictions supported</w:t>
            </w:r>
          </w:p>
        </w:tc>
      </w:tr>
      <w:tr>
        <w:tc>
          <w:tcPr>
            <w:tcW w:type="dxa" w:w="2160"/>
          </w:tcPr>
          <w:p>
            <w:r>
              <w:rPr>
                <w:rFonts w:ascii="Calibri" w:hAnsi="Calibri"/>
                <w:sz w:val="18"/>
              </w:rPr>
              <w:t>BR-023</w:t>
            </w:r>
          </w:p>
        </w:tc>
        <w:tc>
          <w:tcPr>
            <w:tcW w:type="dxa" w:w="2160"/>
          </w:tcPr>
          <w:p>
            <w:r>
              <w:rPr>
                <w:rFonts w:ascii="Calibri" w:hAnsi="Calibri"/>
                <w:sz w:val="18"/>
              </w:rPr>
              <w:t>Handle percentage splits across multiple GL accounts</w:t>
            </w:r>
          </w:p>
        </w:tc>
        <w:tc>
          <w:tcPr>
            <w:tcW w:type="dxa" w:w="2160"/>
          </w:tcPr>
          <w:p>
            <w:r>
              <w:rPr>
                <w:rFonts w:ascii="Calibri" w:hAnsi="Calibri"/>
                <w:sz w:val="18"/>
              </w:rPr>
              <w:t>Should</w:t>
            </w:r>
          </w:p>
        </w:tc>
        <w:tc>
          <w:tcPr>
            <w:tcW w:type="dxa" w:w="2160"/>
          </w:tcPr>
          <w:p>
            <w:r>
              <w:rPr>
                <w:rFonts w:ascii="Calibri" w:hAnsi="Calibri"/>
                <w:sz w:val="18"/>
              </w:rPr>
              <w:t>Percentage splits predicted when pattern supports</w:t>
            </w:r>
          </w:p>
        </w:tc>
      </w:tr>
      <w:tr>
        <w:tc>
          <w:tcPr>
            <w:tcW w:type="dxa" w:w="2160"/>
            <w:shd w:fill="F2F2F2"/>
          </w:tcPr>
          <w:p>
            <w:r>
              <w:rPr>
                <w:rFonts w:ascii="Calibri" w:hAnsi="Calibri"/>
                <w:sz w:val="18"/>
              </w:rPr>
              <w:t>BR-024</w:t>
            </w:r>
          </w:p>
        </w:tc>
        <w:tc>
          <w:tcPr>
            <w:tcW w:type="dxa" w:w="2160"/>
            <w:shd w:fill="F2F2F2"/>
          </w:tcPr>
          <w:p>
            <w:r>
              <w:rPr>
                <w:rFonts w:ascii="Calibri" w:hAnsi="Calibri"/>
                <w:sz w:val="18"/>
              </w:rPr>
              <w:t>Handle fixed amount splits across multiple GL accounts</w:t>
            </w:r>
          </w:p>
        </w:tc>
        <w:tc>
          <w:tcPr>
            <w:tcW w:type="dxa" w:w="2160"/>
            <w:shd w:fill="F2F2F2"/>
          </w:tcPr>
          <w:p>
            <w:r>
              <w:rPr>
                <w:rFonts w:ascii="Calibri" w:hAnsi="Calibri"/>
                <w:sz w:val="18"/>
              </w:rPr>
              <w:t>Should</w:t>
            </w:r>
          </w:p>
        </w:tc>
        <w:tc>
          <w:tcPr>
            <w:tcW w:type="dxa" w:w="2160"/>
            <w:shd w:fill="F2F2F2"/>
          </w:tcPr>
          <w:p>
            <w:r>
              <w:rPr>
                <w:rFonts w:ascii="Calibri" w:hAnsi="Calibri"/>
                <w:sz w:val="18"/>
              </w:rPr>
              <w:t>Fixed splits predicted when pattern supports</w:t>
            </w:r>
          </w:p>
        </w:tc>
      </w:tr>
      <w:tr>
        <w:tc>
          <w:tcPr>
            <w:tcW w:type="dxa" w:w="2160"/>
          </w:tcPr>
          <w:p>
            <w:r>
              <w:rPr>
                <w:rFonts w:ascii="Calibri" w:hAnsi="Calibri"/>
                <w:sz w:val="18"/>
              </w:rPr>
              <w:t>BR-025</w:t>
            </w:r>
          </w:p>
        </w:tc>
        <w:tc>
          <w:tcPr>
            <w:tcW w:type="dxa" w:w="2160"/>
          </w:tcPr>
          <w:p>
            <w:r>
              <w:rPr>
                <w:rFonts w:ascii="Calibri" w:hAnsi="Calibri"/>
                <w:sz w:val="18"/>
              </w:rPr>
              <w:t>Predict coding based on historical patterns for same vendor</w:t>
            </w:r>
          </w:p>
        </w:tc>
        <w:tc>
          <w:tcPr>
            <w:tcW w:type="dxa" w:w="2160"/>
          </w:tcPr>
          <w:p>
            <w:r>
              <w:rPr>
                <w:rFonts w:ascii="Calibri" w:hAnsi="Calibri"/>
                <w:sz w:val="18"/>
              </w:rPr>
              <w:t>Must</w:t>
            </w:r>
          </w:p>
        </w:tc>
        <w:tc>
          <w:tcPr>
            <w:tcW w:type="dxa" w:w="2160"/>
          </w:tcPr>
          <w:p>
            <w:r>
              <w:rPr>
                <w:rFonts w:ascii="Calibri" w:hAnsi="Calibri"/>
                <w:sz w:val="18"/>
              </w:rPr>
              <w:t>Vendor-specific retrieval is primary signal</w:t>
            </w:r>
          </w:p>
        </w:tc>
      </w:tr>
      <w:tr>
        <w:tc>
          <w:tcPr>
            <w:tcW w:type="dxa" w:w="2160"/>
            <w:shd w:fill="F2F2F2"/>
          </w:tcPr>
          <w:p>
            <w:r>
              <w:rPr>
                <w:rFonts w:ascii="Calibri" w:hAnsi="Calibri"/>
                <w:sz w:val="18"/>
              </w:rPr>
              <w:t>BR-026</w:t>
            </w:r>
          </w:p>
        </w:tc>
        <w:tc>
          <w:tcPr>
            <w:tcW w:type="dxa" w:w="2160"/>
            <w:shd w:fill="F2F2F2"/>
          </w:tcPr>
          <w:p>
            <w:r>
              <w:rPr>
                <w:rFonts w:ascii="Calibri" w:hAnsi="Calibri"/>
                <w:sz w:val="18"/>
              </w:rPr>
              <w:t>Predict coding based on similar line descriptions</w:t>
            </w:r>
          </w:p>
        </w:tc>
        <w:tc>
          <w:tcPr>
            <w:tcW w:type="dxa" w:w="2160"/>
            <w:shd w:fill="F2F2F2"/>
          </w:tcPr>
          <w:p>
            <w:r>
              <w:rPr>
                <w:rFonts w:ascii="Calibri" w:hAnsi="Calibri"/>
                <w:sz w:val="18"/>
              </w:rPr>
              <w:t>Must</w:t>
            </w:r>
          </w:p>
        </w:tc>
        <w:tc>
          <w:tcPr>
            <w:tcW w:type="dxa" w:w="2160"/>
            <w:shd w:fill="F2F2F2"/>
          </w:tcPr>
          <w:p>
            <w:r>
              <w:rPr>
                <w:rFonts w:ascii="Calibri" w:hAnsi="Calibri"/>
                <w:sz w:val="18"/>
              </w:rPr>
              <w:t>Semantic similarity search retrieves relevant lines</w:t>
            </w:r>
          </w:p>
        </w:tc>
      </w:tr>
      <w:tr>
        <w:tc>
          <w:tcPr>
            <w:tcW w:type="dxa" w:w="2160"/>
          </w:tcPr>
          <w:p>
            <w:r>
              <w:rPr>
                <w:rFonts w:ascii="Calibri" w:hAnsi="Calibri"/>
                <w:sz w:val="18"/>
              </w:rPr>
              <w:t>BR-027</w:t>
            </w:r>
          </w:p>
        </w:tc>
        <w:tc>
          <w:tcPr>
            <w:tcW w:type="dxa" w:w="2160"/>
          </w:tcPr>
          <w:p>
            <w:r>
              <w:rPr>
                <w:rFonts w:ascii="Calibri" w:hAnsi="Calibri"/>
                <w:sz w:val="18"/>
              </w:rPr>
              <w:t>Predict coding based on amount bands and thresholds</w:t>
            </w:r>
          </w:p>
        </w:tc>
        <w:tc>
          <w:tcPr>
            <w:tcW w:type="dxa" w:w="2160"/>
          </w:tcPr>
          <w:p>
            <w:r>
              <w:rPr>
                <w:rFonts w:ascii="Calibri" w:hAnsi="Calibri"/>
                <w:sz w:val="18"/>
              </w:rPr>
              <w:t>Should</w:t>
            </w:r>
          </w:p>
        </w:tc>
        <w:tc>
          <w:tcPr>
            <w:tcW w:type="dxa" w:w="2160"/>
          </w:tcPr>
          <w:p>
            <w:r>
              <w:rPr>
                <w:rFonts w:ascii="Calibri" w:hAnsi="Calibri"/>
                <w:sz w:val="18"/>
              </w:rPr>
              <w:t>Amount used as filter and ranking signal</w:t>
            </w:r>
          </w:p>
        </w:tc>
      </w:tr>
      <w:tr>
        <w:tc>
          <w:tcPr>
            <w:tcW w:type="dxa" w:w="2160"/>
            <w:shd w:fill="F2F2F2"/>
          </w:tcPr>
          <w:p>
            <w:r>
              <w:rPr>
                <w:rFonts w:ascii="Calibri" w:hAnsi="Calibri"/>
                <w:sz w:val="18"/>
              </w:rPr>
              <w:t>BR-028</w:t>
            </w:r>
          </w:p>
        </w:tc>
        <w:tc>
          <w:tcPr>
            <w:tcW w:type="dxa" w:w="2160"/>
            <w:shd w:fill="F2F2F2"/>
          </w:tcPr>
          <w:p>
            <w:r>
              <w:rPr>
                <w:rFonts w:ascii="Calibri" w:hAnsi="Calibri"/>
                <w:sz w:val="18"/>
              </w:rPr>
              <w:t>Predict coding based on legal entity chart of accounts</w:t>
            </w:r>
          </w:p>
        </w:tc>
        <w:tc>
          <w:tcPr>
            <w:tcW w:type="dxa" w:w="2160"/>
            <w:shd w:fill="F2F2F2"/>
          </w:tcPr>
          <w:p>
            <w:r>
              <w:rPr>
                <w:rFonts w:ascii="Calibri" w:hAnsi="Calibri"/>
                <w:sz w:val="18"/>
              </w:rPr>
              <w:t>Must</w:t>
            </w:r>
          </w:p>
        </w:tc>
        <w:tc>
          <w:tcPr>
            <w:tcW w:type="dxa" w:w="2160"/>
            <w:shd w:fill="F2F2F2"/>
          </w:tcPr>
          <w:p>
            <w:r>
              <w:rPr>
                <w:rFonts w:ascii="Calibri" w:hAnsi="Calibri"/>
                <w:sz w:val="18"/>
              </w:rPr>
              <w:t>Entity-specific chart loaded and enforced</w:t>
            </w:r>
          </w:p>
        </w:tc>
      </w:tr>
      <w:tr>
        <w:tc>
          <w:tcPr>
            <w:tcW w:type="dxa" w:w="2160"/>
          </w:tcPr>
          <w:p>
            <w:r>
              <w:rPr>
                <w:rFonts w:ascii="Calibri" w:hAnsi="Calibri"/>
                <w:sz w:val="18"/>
              </w:rPr>
              <w:t>BR-029</w:t>
            </w:r>
          </w:p>
        </w:tc>
        <w:tc>
          <w:tcPr>
            <w:tcW w:type="dxa" w:w="2160"/>
          </w:tcPr>
          <w:p>
            <w:r>
              <w:rPr>
                <w:rFonts w:ascii="Calibri" w:hAnsi="Calibri"/>
                <w:sz w:val="18"/>
              </w:rPr>
              <w:t>Provide confidence score for every prediction</w:t>
            </w:r>
          </w:p>
        </w:tc>
        <w:tc>
          <w:tcPr>
            <w:tcW w:type="dxa" w:w="2160"/>
          </w:tcPr>
          <w:p>
            <w:r>
              <w:rPr>
                <w:rFonts w:ascii="Calibri" w:hAnsi="Calibri"/>
                <w:sz w:val="18"/>
              </w:rPr>
              <w:t>Must</w:t>
            </w:r>
          </w:p>
        </w:tc>
        <w:tc>
          <w:tcPr>
            <w:tcW w:type="dxa" w:w="2160"/>
          </w:tcPr>
          <w:p>
            <w:r>
              <w:rPr>
                <w:rFonts w:ascii="Calibri" w:hAnsi="Calibri"/>
                <w:sz w:val="18"/>
              </w:rPr>
              <w:t>Score from 0 to 1 on every prediction</w:t>
            </w:r>
          </w:p>
        </w:tc>
      </w:tr>
      <w:tr>
        <w:tc>
          <w:tcPr>
            <w:tcW w:type="dxa" w:w="2160"/>
            <w:shd w:fill="F2F2F2"/>
          </w:tcPr>
          <w:p>
            <w:r>
              <w:rPr>
                <w:rFonts w:ascii="Calibri" w:hAnsi="Calibri"/>
                <w:sz w:val="18"/>
              </w:rPr>
              <w:t>BR-030</w:t>
            </w:r>
          </w:p>
        </w:tc>
        <w:tc>
          <w:tcPr>
            <w:tcW w:type="dxa" w:w="2160"/>
            <w:shd w:fill="F2F2F2"/>
          </w:tcPr>
          <w:p>
            <w:r>
              <w:rPr>
                <w:rFonts w:ascii="Calibri" w:hAnsi="Calibri"/>
                <w:sz w:val="18"/>
              </w:rPr>
              <w:t>Show evidence supporting every prediction</w:t>
            </w:r>
          </w:p>
        </w:tc>
        <w:tc>
          <w:tcPr>
            <w:tcW w:type="dxa" w:w="2160"/>
            <w:shd w:fill="F2F2F2"/>
          </w:tcPr>
          <w:p>
            <w:r>
              <w:rPr>
                <w:rFonts w:ascii="Calibri" w:hAnsi="Calibri"/>
                <w:sz w:val="18"/>
              </w:rPr>
              <w:t>Must</w:t>
            </w:r>
          </w:p>
        </w:tc>
        <w:tc>
          <w:tcPr>
            <w:tcW w:type="dxa" w:w="2160"/>
            <w:shd w:fill="F2F2F2"/>
          </w:tcPr>
          <w:p>
            <w:r>
              <w:rPr>
                <w:rFonts w:ascii="Calibri" w:hAnsi="Calibri"/>
                <w:sz w:val="18"/>
              </w:rPr>
              <w:t>Top 3 evidence lines with similarity scores</w:t>
            </w:r>
          </w:p>
        </w:tc>
      </w:tr>
      <w:tr>
        <w:tc>
          <w:tcPr>
            <w:tcW w:type="dxa" w:w="2160"/>
          </w:tcPr>
          <w:p>
            <w:r>
              <w:rPr>
                <w:rFonts w:ascii="Calibri" w:hAnsi="Calibri"/>
                <w:sz w:val="18"/>
              </w:rPr>
              <w:t>BR-031</w:t>
            </w:r>
          </w:p>
        </w:tc>
        <w:tc>
          <w:tcPr>
            <w:tcW w:type="dxa" w:w="2160"/>
          </w:tcPr>
          <w:p>
            <w:r>
              <w:rPr>
                <w:rFonts w:ascii="Calibri" w:hAnsi="Calibri"/>
                <w:sz w:val="18"/>
              </w:rPr>
              <w:t>Handle seasonal or periodic patterns</w:t>
            </w:r>
          </w:p>
        </w:tc>
        <w:tc>
          <w:tcPr>
            <w:tcW w:type="dxa" w:w="2160"/>
          </w:tcPr>
          <w:p>
            <w:r>
              <w:rPr>
                <w:rFonts w:ascii="Calibri" w:hAnsi="Calibri"/>
                <w:sz w:val="18"/>
              </w:rPr>
              <w:t>Should</w:t>
            </w:r>
          </w:p>
        </w:tc>
        <w:tc>
          <w:tcPr>
            <w:tcW w:type="dxa" w:w="2160"/>
          </w:tcPr>
          <w:p>
            <w:r>
              <w:rPr>
                <w:rFonts w:ascii="Calibri" w:hAnsi="Calibri"/>
                <w:sz w:val="18"/>
              </w:rPr>
              <w:t>Date metadata included in retrieval</w:t>
            </w:r>
          </w:p>
        </w:tc>
      </w:tr>
    </w:tbl>
    <w:p/>
    <w:p>
      <w:pPr>
        <w:pStyle w:val="Heading2"/>
      </w:pPr>
      <w:r>
        <w:t>4.4 Confidence and Decision Making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BR-032</w:t>
            </w:r>
          </w:p>
        </w:tc>
        <w:tc>
          <w:tcPr>
            <w:tcW w:type="dxa" w:w="2160"/>
          </w:tcPr>
          <w:p>
            <w:r>
              <w:rPr>
                <w:rFonts w:ascii="Calibri" w:hAnsi="Calibri"/>
                <w:sz w:val="18"/>
              </w:rPr>
              <w:t>Define clear thresholds for automatic posting</w:t>
            </w:r>
          </w:p>
        </w:tc>
        <w:tc>
          <w:tcPr>
            <w:tcW w:type="dxa" w:w="2160"/>
          </w:tcPr>
          <w:p>
            <w:r>
              <w:rPr>
                <w:rFonts w:ascii="Calibri" w:hAnsi="Calibri"/>
                <w:sz w:val="18"/>
              </w:rPr>
              <w:t>Must</w:t>
            </w:r>
          </w:p>
        </w:tc>
        <w:tc>
          <w:tcPr>
            <w:tcW w:type="dxa" w:w="2160"/>
          </w:tcPr>
          <w:p>
            <w:r>
              <w:rPr>
                <w:rFonts w:ascii="Calibri" w:hAnsi="Calibri"/>
                <w:sz w:val="18"/>
              </w:rPr>
              <w:t>Threshold configurable per tenant</w:t>
            </w:r>
          </w:p>
        </w:tc>
      </w:tr>
      <w:tr>
        <w:tc>
          <w:tcPr>
            <w:tcW w:type="dxa" w:w="2160"/>
            <w:shd w:fill="F2F2F2"/>
          </w:tcPr>
          <w:p>
            <w:r>
              <w:rPr>
                <w:rFonts w:ascii="Calibri" w:hAnsi="Calibri"/>
                <w:sz w:val="18"/>
              </w:rPr>
              <w:t>BR-033</w:t>
            </w:r>
          </w:p>
        </w:tc>
        <w:tc>
          <w:tcPr>
            <w:tcW w:type="dxa" w:w="2160"/>
            <w:shd w:fill="F2F2F2"/>
          </w:tcPr>
          <w:p>
            <w:r>
              <w:rPr>
                <w:rFonts w:ascii="Calibri" w:hAnsi="Calibri"/>
                <w:sz w:val="18"/>
              </w:rPr>
              <w:t>Define clear thresholds for human review</w:t>
            </w:r>
          </w:p>
        </w:tc>
        <w:tc>
          <w:tcPr>
            <w:tcW w:type="dxa" w:w="2160"/>
            <w:shd w:fill="F2F2F2"/>
          </w:tcPr>
          <w:p>
            <w:r>
              <w:rPr>
                <w:rFonts w:ascii="Calibri" w:hAnsi="Calibri"/>
                <w:sz w:val="18"/>
              </w:rPr>
              <w:t>Must</w:t>
            </w:r>
          </w:p>
        </w:tc>
        <w:tc>
          <w:tcPr>
            <w:tcW w:type="dxa" w:w="2160"/>
            <w:shd w:fill="F2F2F2"/>
          </w:tcPr>
          <w:p>
            <w:r>
              <w:rPr>
                <w:rFonts w:ascii="Calibri" w:hAnsi="Calibri"/>
                <w:sz w:val="18"/>
              </w:rPr>
              <w:t>Review threshold configurable per tenant</w:t>
            </w:r>
          </w:p>
        </w:tc>
      </w:tr>
      <w:tr>
        <w:tc>
          <w:tcPr>
            <w:tcW w:type="dxa" w:w="2160"/>
          </w:tcPr>
          <w:p>
            <w:r>
              <w:rPr>
                <w:rFonts w:ascii="Calibri" w:hAnsi="Calibri"/>
                <w:sz w:val="18"/>
              </w:rPr>
              <w:t>BR-034</w:t>
            </w:r>
          </w:p>
        </w:tc>
        <w:tc>
          <w:tcPr>
            <w:tcW w:type="dxa" w:w="2160"/>
          </w:tcPr>
          <w:p>
            <w:r>
              <w:rPr>
                <w:rFonts w:ascii="Calibri" w:hAnsi="Calibri"/>
                <w:sz w:val="18"/>
              </w:rPr>
              <w:t>Apply business policy rules that override model confidence</w:t>
            </w:r>
          </w:p>
        </w:tc>
        <w:tc>
          <w:tcPr>
            <w:tcW w:type="dxa" w:w="2160"/>
          </w:tcPr>
          <w:p>
            <w:r>
              <w:rPr>
                <w:rFonts w:ascii="Calibri" w:hAnsi="Calibri"/>
                <w:sz w:val="18"/>
              </w:rPr>
              <w:t>Must</w:t>
            </w:r>
          </w:p>
        </w:tc>
        <w:tc>
          <w:tcPr>
            <w:tcW w:type="dxa" w:w="2160"/>
          </w:tcPr>
          <w:p>
            <w:r>
              <w:rPr>
                <w:rFonts w:ascii="Calibri" w:hAnsi="Calibri"/>
                <w:sz w:val="18"/>
              </w:rPr>
              <w:t>Amount-based policy enforced before auto-post</w:t>
            </w:r>
          </w:p>
        </w:tc>
      </w:tr>
      <w:tr>
        <w:tc>
          <w:tcPr>
            <w:tcW w:type="dxa" w:w="2160"/>
            <w:shd w:fill="F2F2F2"/>
          </w:tcPr>
          <w:p>
            <w:r>
              <w:rPr>
                <w:rFonts w:ascii="Calibri" w:hAnsi="Calibri"/>
                <w:sz w:val="18"/>
              </w:rPr>
              <w:t>BR-035</w:t>
            </w:r>
          </w:p>
        </w:tc>
        <w:tc>
          <w:tcPr>
            <w:tcW w:type="dxa" w:w="2160"/>
            <w:shd w:fill="F2F2F2"/>
          </w:tcPr>
          <w:p>
            <w:r>
              <w:rPr>
                <w:rFonts w:ascii="Calibri" w:hAnsi="Calibri"/>
                <w:sz w:val="18"/>
              </w:rPr>
              <w:t>Handle high-value invoices with mandatory human review</w:t>
            </w:r>
          </w:p>
        </w:tc>
        <w:tc>
          <w:tcPr>
            <w:tcW w:type="dxa" w:w="2160"/>
            <w:shd w:fill="F2F2F2"/>
          </w:tcPr>
          <w:p>
            <w:r>
              <w:rPr>
                <w:rFonts w:ascii="Calibri" w:hAnsi="Calibri"/>
                <w:sz w:val="18"/>
              </w:rPr>
              <w:t>Must</w:t>
            </w:r>
          </w:p>
        </w:tc>
        <w:tc>
          <w:tcPr>
            <w:tcW w:type="dxa" w:w="2160"/>
            <w:shd w:fill="F2F2F2"/>
          </w:tcPr>
          <w:p>
            <w:r>
              <w:rPr>
                <w:rFonts w:ascii="Calibri" w:hAnsi="Calibri"/>
                <w:sz w:val="18"/>
              </w:rPr>
              <w:t>Invoices above threshold always route to review</w:t>
            </w:r>
          </w:p>
        </w:tc>
      </w:tr>
      <w:tr>
        <w:tc>
          <w:tcPr>
            <w:tcW w:type="dxa" w:w="2160"/>
          </w:tcPr>
          <w:p>
            <w:r>
              <w:rPr>
                <w:rFonts w:ascii="Calibri" w:hAnsi="Calibri"/>
                <w:sz w:val="18"/>
              </w:rPr>
              <w:t>BR-036</w:t>
            </w:r>
          </w:p>
        </w:tc>
        <w:tc>
          <w:tcPr>
            <w:tcW w:type="dxa" w:w="2160"/>
          </w:tcPr>
          <w:p>
            <w:r>
              <w:rPr>
                <w:rFonts w:ascii="Calibri" w:hAnsi="Calibri"/>
                <w:sz w:val="18"/>
              </w:rPr>
              <w:t>Handle new vendors with no history by routing to review</w:t>
            </w:r>
          </w:p>
        </w:tc>
        <w:tc>
          <w:tcPr>
            <w:tcW w:type="dxa" w:w="2160"/>
          </w:tcPr>
          <w:p>
            <w:r>
              <w:rPr>
                <w:rFonts w:ascii="Calibri" w:hAnsi="Calibri"/>
                <w:sz w:val="18"/>
              </w:rPr>
              <w:t>Must</w:t>
            </w:r>
          </w:p>
        </w:tc>
        <w:tc>
          <w:tcPr>
            <w:tcW w:type="dxa" w:w="2160"/>
          </w:tcPr>
          <w:p>
            <w:r>
              <w:rPr>
                <w:rFonts w:ascii="Calibri" w:hAnsi="Calibri"/>
                <w:sz w:val="18"/>
              </w:rPr>
              <w:t>Vendors with fewer than 3 lines route to review</w:t>
            </w:r>
          </w:p>
        </w:tc>
      </w:tr>
      <w:tr>
        <w:tc>
          <w:tcPr>
            <w:tcW w:type="dxa" w:w="2160"/>
            <w:shd w:fill="F2F2F2"/>
          </w:tcPr>
          <w:p>
            <w:r>
              <w:rPr>
                <w:rFonts w:ascii="Calibri" w:hAnsi="Calibri"/>
                <w:sz w:val="18"/>
              </w:rPr>
              <w:t>BR-037</w:t>
            </w:r>
          </w:p>
        </w:tc>
        <w:tc>
          <w:tcPr>
            <w:tcW w:type="dxa" w:w="2160"/>
            <w:shd w:fill="F2F2F2"/>
          </w:tcPr>
          <w:p>
            <w:r>
              <w:rPr>
                <w:rFonts w:ascii="Calibri" w:hAnsi="Calibri"/>
                <w:sz w:val="18"/>
              </w:rPr>
              <w:t>Handle invoices outside normal amount ranges by routing to review</w:t>
            </w:r>
          </w:p>
        </w:tc>
        <w:tc>
          <w:tcPr>
            <w:tcW w:type="dxa" w:w="2160"/>
            <w:shd w:fill="F2F2F2"/>
          </w:tcPr>
          <w:p>
            <w:r>
              <w:rPr>
                <w:rFonts w:ascii="Calibri" w:hAnsi="Calibri"/>
                <w:sz w:val="18"/>
              </w:rPr>
              <w:t>Should</w:t>
            </w:r>
          </w:p>
        </w:tc>
        <w:tc>
          <w:tcPr>
            <w:tcW w:type="dxa" w:w="2160"/>
            <w:shd w:fill="F2F2F2"/>
          </w:tcPr>
          <w:p>
            <w:r>
              <w:rPr>
                <w:rFonts w:ascii="Calibri" w:hAnsi="Calibri"/>
                <w:sz w:val="18"/>
              </w:rPr>
              <w:t>Amount z-score beyond 2 SD triggers review</w:t>
            </w:r>
          </w:p>
        </w:tc>
      </w:tr>
      <w:tr>
        <w:tc>
          <w:tcPr>
            <w:tcW w:type="dxa" w:w="2160"/>
          </w:tcPr>
          <w:p>
            <w:r>
              <w:rPr>
                <w:rFonts w:ascii="Calibri" w:hAnsi="Calibri"/>
                <w:sz w:val="18"/>
              </w:rPr>
              <w:t>BR-038</w:t>
            </w:r>
          </w:p>
        </w:tc>
        <w:tc>
          <w:tcPr>
            <w:tcW w:type="dxa" w:w="2160"/>
          </w:tcPr>
          <w:p>
            <w:r>
              <w:rPr>
                <w:rFonts w:ascii="Calibri" w:hAnsi="Calibri"/>
                <w:sz w:val="18"/>
              </w:rPr>
              <w:t>Detect when historical patterns have drifted</w:t>
            </w:r>
          </w:p>
        </w:tc>
        <w:tc>
          <w:tcPr>
            <w:tcW w:type="dxa" w:w="2160"/>
          </w:tcPr>
          <w:p>
            <w:r>
              <w:rPr>
                <w:rFonts w:ascii="Calibri" w:hAnsi="Calibri"/>
                <w:sz w:val="18"/>
              </w:rPr>
              <w:t>Should</w:t>
            </w:r>
          </w:p>
        </w:tc>
        <w:tc>
          <w:tcPr>
            <w:tcW w:type="dxa" w:w="2160"/>
          </w:tcPr>
          <w:p>
            <w:r>
              <w:rPr>
                <w:rFonts w:ascii="Calibri" w:hAnsi="Calibri"/>
                <w:sz w:val="18"/>
              </w:rPr>
              <w:t>Drift detection runs daily per vendor</w:t>
            </w:r>
          </w:p>
        </w:tc>
      </w:tr>
      <w:tr>
        <w:tc>
          <w:tcPr>
            <w:tcW w:type="dxa" w:w="2160"/>
            <w:shd w:fill="F2F2F2"/>
          </w:tcPr>
          <w:p>
            <w:r>
              <w:rPr>
                <w:rFonts w:ascii="Calibri" w:hAnsi="Calibri"/>
                <w:sz w:val="18"/>
              </w:rPr>
              <w:t>BR-039</w:t>
            </w:r>
          </w:p>
        </w:tc>
        <w:tc>
          <w:tcPr>
            <w:tcW w:type="dxa" w:w="2160"/>
            <w:shd w:fill="F2F2F2"/>
          </w:tcPr>
          <w:p>
            <w:r>
              <w:rPr>
                <w:rFonts w:ascii="Calibri" w:hAnsi="Calibri"/>
                <w:sz w:val="18"/>
              </w:rPr>
              <w:t>Reduce automation confidence when drift detected</w:t>
            </w:r>
          </w:p>
        </w:tc>
        <w:tc>
          <w:tcPr>
            <w:tcW w:type="dxa" w:w="2160"/>
            <w:shd w:fill="F2F2F2"/>
          </w:tcPr>
          <w:p>
            <w:r>
              <w:rPr>
                <w:rFonts w:ascii="Calibri" w:hAnsi="Calibri"/>
                <w:sz w:val="18"/>
              </w:rPr>
              <w:t>Should</w:t>
            </w:r>
          </w:p>
        </w:tc>
        <w:tc>
          <w:tcPr>
            <w:tcW w:type="dxa" w:w="2160"/>
            <w:shd w:fill="F2F2F2"/>
          </w:tcPr>
          <w:p>
            <w:r>
              <w:rPr>
                <w:rFonts w:ascii="Calibri" w:hAnsi="Calibri"/>
                <w:sz w:val="18"/>
              </w:rPr>
              <w:t>Threshold temporarily raised on drift flag</w:t>
            </w:r>
          </w:p>
        </w:tc>
      </w:tr>
      <w:tr>
        <w:tc>
          <w:tcPr>
            <w:tcW w:type="dxa" w:w="2160"/>
          </w:tcPr>
          <w:p>
            <w:r>
              <w:rPr>
                <w:rFonts w:ascii="Calibri" w:hAnsi="Calibri"/>
                <w:sz w:val="18"/>
              </w:rPr>
              <w:t>BR-040</w:t>
            </w:r>
          </w:p>
        </w:tc>
        <w:tc>
          <w:tcPr>
            <w:tcW w:type="dxa" w:w="2160"/>
          </w:tcPr>
          <w:p>
            <w:r>
              <w:rPr>
                <w:rFonts w:ascii="Calibri" w:hAnsi="Calibri"/>
                <w:sz w:val="18"/>
              </w:rPr>
              <w:t>Restore automation confidence when new patterns stabilize</w:t>
            </w:r>
          </w:p>
        </w:tc>
        <w:tc>
          <w:tcPr>
            <w:tcW w:type="dxa" w:w="2160"/>
          </w:tcPr>
          <w:p>
            <w:r>
              <w:rPr>
                <w:rFonts w:ascii="Calibri" w:hAnsi="Calibri"/>
                <w:sz w:val="18"/>
              </w:rPr>
              <w:t>Should</w:t>
            </w:r>
          </w:p>
        </w:tc>
        <w:tc>
          <w:tcPr>
            <w:tcW w:type="dxa" w:w="2160"/>
          </w:tcPr>
          <w:p>
            <w:r>
              <w:rPr>
                <w:rFonts w:ascii="Calibri" w:hAnsi="Calibri"/>
                <w:sz w:val="18"/>
              </w:rPr>
              <w:t>Threshold restores after 10 consistent confirmations</w:t>
            </w:r>
          </w:p>
        </w:tc>
      </w:tr>
      <w:tr>
        <w:tc>
          <w:tcPr>
            <w:tcW w:type="dxa" w:w="2160"/>
            <w:shd w:fill="F2F2F2"/>
          </w:tcPr>
          <w:p>
            <w:r>
              <w:rPr>
                <w:rFonts w:ascii="Calibri" w:hAnsi="Calibri"/>
                <w:sz w:val="18"/>
              </w:rPr>
              <w:t>BR-041</w:t>
            </w:r>
          </w:p>
        </w:tc>
        <w:tc>
          <w:tcPr>
            <w:tcW w:type="dxa" w:w="2160"/>
            <w:shd w:fill="F2F2F2"/>
          </w:tcPr>
          <w:p>
            <w:r>
              <w:rPr>
                <w:rFonts w:ascii="Calibri" w:hAnsi="Calibri"/>
                <w:sz w:val="18"/>
              </w:rPr>
              <w:t>Weight recent evidence more heavily than old evidence</w:t>
            </w:r>
          </w:p>
        </w:tc>
        <w:tc>
          <w:tcPr>
            <w:tcW w:type="dxa" w:w="2160"/>
            <w:shd w:fill="F2F2F2"/>
          </w:tcPr>
          <w:p>
            <w:r>
              <w:rPr>
                <w:rFonts w:ascii="Calibri" w:hAnsi="Calibri"/>
                <w:sz w:val="18"/>
              </w:rPr>
              <w:t>Should</w:t>
            </w:r>
          </w:p>
        </w:tc>
        <w:tc>
          <w:tcPr>
            <w:tcW w:type="dxa" w:w="2160"/>
            <w:shd w:fill="F2F2F2"/>
          </w:tcPr>
          <w:p>
            <w:r>
              <w:rPr>
                <w:rFonts w:ascii="Calibri" w:hAnsi="Calibri"/>
                <w:sz w:val="18"/>
              </w:rPr>
              <w:t>Recency decay reduces 12-month-old weight by 50%</w:t>
            </w:r>
          </w:p>
        </w:tc>
      </w:tr>
      <w:tr>
        <w:tc>
          <w:tcPr>
            <w:tcW w:type="dxa" w:w="2160"/>
          </w:tcPr>
          <w:p>
            <w:r>
              <w:rPr>
                <w:rFonts w:ascii="Calibri" w:hAnsi="Calibri"/>
                <w:sz w:val="18"/>
              </w:rPr>
              <w:t>BR-042</w:t>
            </w:r>
          </w:p>
        </w:tc>
        <w:tc>
          <w:tcPr>
            <w:tcW w:type="dxa" w:w="2160"/>
          </w:tcPr>
          <w:p>
            <w:r>
              <w:rPr>
                <w:rFonts w:ascii="Calibri" w:hAnsi="Calibri"/>
                <w:sz w:val="18"/>
              </w:rPr>
              <w:t>Handle sparse or thin retrieved evidence</w:t>
            </w:r>
          </w:p>
        </w:tc>
        <w:tc>
          <w:tcPr>
            <w:tcW w:type="dxa" w:w="2160"/>
          </w:tcPr>
          <w:p>
            <w:r>
              <w:rPr>
                <w:rFonts w:ascii="Calibri" w:hAnsi="Calibri"/>
                <w:sz w:val="18"/>
              </w:rPr>
              <w:t>Must</w:t>
            </w:r>
          </w:p>
        </w:tc>
        <w:tc>
          <w:tcPr>
            <w:tcW w:type="dxa" w:w="2160"/>
          </w:tcPr>
          <w:p>
            <w:r>
              <w:rPr>
                <w:rFonts w:ascii="Calibri" w:hAnsi="Calibri"/>
                <w:sz w:val="18"/>
              </w:rPr>
              <w:t>Sparse retrieval triggers review</w:t>
            </w:r>
          </w:p>
        </w:tc>
      </w:tr>
    </w:tbl>
    <w:p/>
    <w:p>
      <w:pPr>
        <w:pStyle w:val="Heading2"/>
      </w:pPr>
      <w:r>
        <w:t>4.5 Human Review and Workflow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BR-043</w:t>
            </w:r>
          </w:p>
        </w:tc>
        <w:tc>
          <w:tcPr>
            <w:tcW w:type="dxa" w:w="2160"/>
          </w:tcPr>
          <w:p>
            <w:r>
              <w:rPr>
                <w:rFonts w:ascii="Calibri" w:hAnsi="Calibri"/>
                <w:sz w:val="18"/>
              </w:rPr>
              <w:t>Present review queue for low-confidence invoices</w:t>
            </w:r>
          </w:p>
        </w:tc>
        <w:tc>
          <w:tcPr>
            <w:tcW w:type="dxa" w:w="2160"/>
          </w:tcPr>
          <w:p>
            <w:r>
              <w:rPr>
                <w:rFonts w:ascii="Calibri" w:hAnsi="Calibri"/>
                <w:sz w:val="18"/>
              </w:rPr>
              <w:t>Must</w:t>
            </w:r>
          </w:p>
        </w:tc>
        <w:tc>
          <w:tcPr>
            <w:tcW w:type="dxa" w:w="2160"/>
          </w:tcPr>
          <w:p>
            <w:r>
              <w:rPr>
                <w:rFonts w:ascii="Calibri" w:hAnsi="Calibri"/>
                <w:sz w:val="18"/>
              </w:rPr>
              <w:t>Queue accessible via existing UI</w:t>
            </w:r>
          </w:p>
        </w:tc>
      </w:tr>
      <w:tr>
        <w:tc>
          <w:tcPr>
            <w:tcW w:type="dxa" w:w="2160"/>
            <w:shd w:fill="F2F2F2"/>
          </w:tcPr>
          <w:p>
            <w:r>
              <w:rPr>
                <w:rFonts w:ascii="Calibri" w:hAnsi="Calibri"/>
                <w:sz w:val="18"/>
              </w:rPr>
              <w:t>BR-044</w:t>
            </w:r>
          </w:p>
        </w:tc>
        <w:tc>
          <w:tcPr>
            <w:tcW w:type="dxa" w:w="2160"/>
            <w:shd w:fill="F2F2F2"/>
          </w:tcPr>
          <w:p>
            <w:r>
              <w:rPr>
                <w:rFonts w:ascii="Calibri" w:hAnsi="Calibri"/>
                <w:sz w:val="18"/>
              </w:rPr>
              <w:t>Display prediction and supporting evidence clearly</w:t>
            </w:r>
          </w:p>
        </w:tc>
        <w:tc>
          <w:tcPr>
            <w:tcW w:type="dxa" w:w="2160"/>
            <w:shd w:fill="F2F2F2"/>
          </w:tcPr>
          <w:p>
            <w:r>
              <w:rPr>
                <w:rFonts w:ascii="Calibri" w:hAnsi="Calibri"/>
                <w:sz w:val="18"/>
              </w:rPr>
              <w:t>Must</w:t>
            </w:r>
          </w:p>
        </w:tc>
        <w:tc>
          <w:tcPr>
            <w:tcW w:type="dxa" w:w="2160"/>
            <w:shd w:fill="F2F2F2"/>
          </w:tcPr>
          <w:p>
            <w:r>
              <w:rPr>
                <w:rFonts w:ascii="Calibri" w:hAnsi="Calibri"/>
                <w:sz w:val="18"/>
              </w:rPr>
              <w:t>Review screen shows prediction, confidence, evidence</w:t>
            </w:r>
          </w:p>
        </w:tc>
      </w:tr>
      <w:tr>
        <w:tc>
          <w:tcPr>
            <w:tcW w:type="dxa" w:w="2160"/>
          </w:tcPr>
          <w:p>
            <w:r>
              <w:rPr>
                <w:rFonts w:ascii="Calibri" w:hAnsi="Calibri"/>
                <w:sz w:val="18"/>
              </w:rPr>
              <w:t>BR-045</w:t>
            </w:r>
          </w:p>
        </w:tc>
        <w:tc>
          <w:tcPr>
            <w:tcW w:type="dxa" w:w="2160"/>
          </w:tcPr>
          <w:p>
            <w:r>
              <w:rPr>
                <w:rFonts w:ascii="Calibri" w:hAnsi="Calibri"/>
                <w:sz w:val="18"/>
              </w:rPr>
              <w:t>Allow confirmation with minimal clicks</w:t>
            </w:r>
          </w:p>
        </w:tc>
        <w:tc>
          <w:tcPr>
            <w:tcW w:type="dxa" w:w="2160"/>
          </w:tcPr>
          <w:p>
            <w:r>
              <w:rPr>
                <w:rFonts w:ascii="Calibri" w:hAnsi="Calibri"/>
                <w:sz w:val="18"/>
              </w:rPr>
              <w:t>Must</w:t>
            </w:r>
          </w:p>
        </w:tc>
        <w:tc>
          <w:tcPr>
            <w:tcW w:type="dxa" w:w="2160"/>
          </w:tcPr>
          <w:p>
            <w:r>
              <w:rPr>
                <w:rFonts w:ascii="Calibri" w:hAnsi="Calibri"/>
                <w:sz w:val="18"/>
              </w:rPr>
              <w:t>One-click confirm available</w:t>
            </w:r>
          </w:p>
        </w:tc>
      </w:tr>
      <w:tr>
        <w:tc>
          <w:tcPr>
            <w:tcW w:type="dxa" w:w="2160"/>
            <w:shd w:fill="F2F2F2"/>
          </w:tcPr>
          <w:p>
            <w:r>
              <w:rPr>
                <w:rFonts w:ascii="Calibri" w:hAnsi="Calibri"/>
                <w:sz w:val="18"/>
              </w:rPr>
              <w:t>BR-046</w:t>
            </w:r>
          </w:p>
        </w:tc>
        <w:tc>
          <w:tcPr>
            <w:tcW w:type="dxa" w:w="2160"/>
            <w:shd w:fill="F2F2F2"/>
          </w:tcPr>
          <w:p>
            <w:r>
              <w:rPr>
                <w:rFonts w:ascii="Calibri" w:hAnsi="Calibri"/>
                <w:sz w:val="18"/>
              </w:rPr>
              <w:t>Allow correction of the prediction</w:t>
            </w:r>
          </w:p>
        </w:tc>
        <w:tc>
          <w:tcPr>
            <w:tcW w:type="dxa" w:w="2160"/>
            <w:shd w:fill="F2F2F2"/>
          </w:tcPr>
          <w:p>
            <w:r>
              <w:rPr>
                <w:rFonts w:ascii="Calibri" w:hAnsi="Calibri"/>
                <w:sz w:val="18"/>
              </w:rPr>
              <w:t>Must</w:t>
            </w:r>
          </w:p>
        </w:tc>
        <w:tc>
          <w:tcPr>
            <w:tcW w:type="dxa" w:w="2160"/>
            <w:shd w:fill="F2F2F2"/>
          </w:tcPr>
          <w:p>
            <w:r>
              <w:rPr>
                <w:rFonts w:ascii="Calibri" w:hAnsi="Calibri"/>
                <w:sz w:val="18"/>
              </w:rPr>
              <w:t>Correction form supports all coding fields</w:t>
            </w:r>
          </w:p>
        </w:tc>
      </w:tr>
      <w:tr>
        <w:tc>
          <w:tcPr>
            <w:tcW w:type="dxa" w:w="2160"/>
          </w:tcPr>
          <w:p>
            <w:r>
              <w:rPr>
                <w:rFonts w:ascii="Calibri" w:hAnsi="Calibri"/>
                <w:sz w:val="18"/>
              </w:rPr>
              <w:t>BR-047</w:t>
            </w:r>
          </w:p>
        </w:tc>
        <w:tc>
          <w:tcPr>
            <w:tcW w:type="dxa" w:w="2160"/>
          </w:tcPr>
          <w:p>
            <w:r>
              <w:rPr>
                <w:rFonts w:ascii="Calibri" w:hAnsi="Calibri"/>
                <w:sz w:val="18"/>
              </w:rPr>
              <w:t>Allow explanatory comments on corrections</w:t>
            </w:r>
          </w:p>
        </w:tc>
        <w:tc>
          <w:tcPr>
            <w:tcW w:type="dxa" w:w="2160"/>
          </w:tcPr>
          <w:p>
            <w:r>
              <w:rPr>
                <w:rFonts w:ascii="Calibri" w:hAnsi="Calibri"/>
                <w:sz w:val="18"/>
              </w:rPr>
              <w:t>Should</w:t>
            </w:r>
          </w:p>
        </w:tc>
        <w:tc>
          <w:tcPr>
            <w:tcW w:type="dxa" w:w="2160"/>
          </w:tcPr>
          <w:p>
            <w:r>
              <w:rPr>
                <w:rFonts w:ascii="Calibri" w:hAnsi="Calibri"/>
                <w:sz w:val="18"/>
              </w:rPr>
              <w:t>Free text comment field available</w:t>
            </w:r>
          </w:p>
        </w:tc>
      </w:tr>
      <w:tr>
        <w:tc>
          <w:tcPr>
            <w:tcW w:type="dxa" w:w="2160"/>
            <w:shd w:fill="F2F2F2"/>
          </w:tcPr>
          <w:p>
            <w:r>
              <w:rPr>
                <w:rFonts w:ascii="Calibri" w:hAnsi="Calibri"/>
                <w:sz w:val="18"/>
              </w:rPr>
              <w:t>BR-048</w:t>
            </w:r>
          </w:p>
        </w:tc>
        <w:tc>
          <w:tcPr>
            <w:tcW w:type="dxa" w:w="2160"/>
            <w:shd w:fill="F2F2F2"/>
          </w:tcPr>
          <w:p>
            <w:r>
              <w:rPr>
                <w:rFonts w:ascii="Calibri" w:hAnsi="Calibri"/>
                <w:sz w:val="18"/>
              </w:rPr>
              <w:t>Support batch approval for low-risk patterns</w:t>
            </w:r>
          </w:p>
        </w:tc>
        <w:tc>
          <w:tcPr>
            <w:tcW w:type="dxa" w:w="2160"/>
            <w:shd w:fill="F2F2F2"/>
          </w:tcPr>
          <w:p>
            <w:r>
              <w:rPr>
                <w:rFonts w:ascii="Calibri" w:hAnsi="Calibri"/>
                <w:sz w:val="18"/>
              </w:rPr>
              <w:t>Should</w:t>
            </w:r>
          </w:p>
        </w:tc>
        <w:tc>
          <w:tcPr>
            <w:tcW w:type="dxa" w:w="2160"/>
            <w:shd w:fill="F2F2F2"/>
          </w:tcPr>
          <w:p>
            <w:r>
              <w:rPr>
                <w:rFonts w:ascii="Calibri" w:hAnsi="Calibri"/>
                <w:sz w:val="18"/>
              </w:rPr>
              <w:t>Batch up to 50 invoices per action</w:t>
            </w:r>
          </w:p>
        </w:tc>
      </w:tr>
      <w:tr>
        <w:tc>
          <w:tcPr>
            <w:tcW w:type="dxa" w:w="2160"/>
          </w:tcPr>
          <w:p>
            <w:r>
              <w:rPr>
                <w:rFonts w:ascii="Calibri" w:hAnsi="Calibri"/>
                <w:sz w:val="18"/>
              </w:rPr>
              <w:t>BR-049</w:t>
            </w:r>
          </w:p>
        </w:tc>
        <w:tc>
          <w:tcPr>
            <w:tcW w:type="dxa" w:w="2160"/>
          </w:tcPr>
          <w:p>
            <w:r>
              <w:rPr>
                <w:rFonts w:ascii="Calibri" w:hAnsi="Calibri"/>
                <w:sz w:val="18"/>
              </w:rPr>
              <w:t>Prioritize queue by risk, value, or age</w:t>
            </w:r>
          </w:p>
        </w:tc>
        <w:tc>
          <w:tcPr>
            <w:tcW w:type="dxa" w:w="2160"/>
          </w:tcPr>
          <w:p>
            <w:r>
              <w:rPr>
                <w:rFonts w:ascii="Calibri" w:hAnsi="Calibri"/>
                <w:sz w:val="18"/>
              </w:rPr>
              <w:t>Should</w:t>
            </w:r>
          </w:p>
        </w:tc>
        <w:tc>
          <w:tcPr>
            <w:tcW w:type="dxa" w:w="2160"/>
          </w:tcPr>
          <w:p>
            <w:r>
              <w:rPr>
                <w:rFonts w:ascii="Calibri" w:hAnsi="Calibri"/>
                <w:sz w:val="18"/>
              </w:rPr>
              <w:t>Queue sortable by multiple criteria</w:t>
            </w:r>
          </w:p>
        </w:tc>
      </w:tr>
      <w:tr>
        <w:tc>
          <w:tcPr>
            <w:tcW w:type="dxa" w:w="2160"/>
            <w:shd w:fill="F2F2F2"/>
          </w:tcPr>
          <w:p>
            <w:r>
              <w:rPr>
                <w:rFonts w:ascii="Calibri" w:hAnsi="Calibri"/>
                <w:sz w:val="18"/>
              </w:rPr>
              <w:t>BR-050</w:t>
            </w:r>
          </w:p>
        </w:tc>
        <w:tc>
          <w:tcPr>
            <w:tcW w:type="dxa" w:w="2160"/>
            <w:shd w:fill="F2F2F2"/>
          </w:tcPr>
          <w:p>
            <w:r>
              <w:rPr>
                <w:rFonts w:ascii="Calibri" w:hAnsi="Calibri"/>
                <w:sz w:val="18"/>
              </w:rPr>
              <w:t>Track review time and throughput</w:t>
            </w:r>
          </w:p>
        </w:tc>
        <w:tc>
          <w:tcPr>
            <w:tcW w:type="dxa" w:w="2160"/>
            <w:shd w:fill="F2F2F2"/>
          </w:tcPr>
          <w:p>
            <w:r>
              <w:rPr>
                <w:rFonts w:ascii="Calibri" w:hAnsi="Calibri"/>
                <w:sz w:val="18"/>
              </w:rPr>
              <w:t>Should</w:t>
            </w:r>
          </w:p>
        </w:tc>
        <w:tc>
          <w:tcPr>
            <w:tcW w:type="dxa" w:w="2160"/>
            <w:shd w:fill="F2F2F2"/>
          </w:tcPr>
          <w:p>
            <w:r>
              <w:rPr>
                <w:rFonts w:ascii="Calibri" w:hAnsi="Calibri"/>
                <w:sz w:val="18"/>
              </w:rPr>
              <w:t>Dashboard shows avg review time and items/hour</w:t>
            </w:r>
          </w:p>
        </w:tc>
      </w:tr>
      <w:tr>
        <w:tc>
          <w:tcPr>
            <w:tcW w:type="dxa" w:w="2160"/>
          </w:tcPr>
          <w:p>
            <w:r>
              <w:rPr>
                <w:rFonts w:ascii="Calibri" w:hAnsi="Calibri"/>
                <w:sz w:val="18"/>
              </w:rPr>
              <w:t>BR-051</w:t>
            </w:r>
          </w:p>
        </w:tc>
        <w:tc>
          <w:tcPr>
            <w:tcW w:type="dxa" w:w="2160"/>
          </w:tcPr>
          <w:p>
            <w:r>
              <w:rPr>
                <w:rFonts w:ascii="Calibri" w:hAnsi="Calibri"/>
                <w:sz w:val="18"/>
              </w:rPr>
              <w:t>Route complex cases to senior reviewers</w:t>
            </w:r>
          </w:p>
        </w:tc>
        <w:tc>
          <w:tcPr>
            <w:tcW w:type="dxa" w:w="2160"/>
          </w:tcPr>
          <w:p>
            <w:r>
              <w:rPr>
                <w:rFonts w:ascii="Calibri" w:hAnsi="Calibri"/>
                <w:sz w:val="18"/>
              </w:rPr>
              <w:t>Should</w:t>
            </w:r>
          </w:p>
        </w:tc>
        <w:tc>
          <w:tcPr>
            <w:tcW w:type="dxa" w:w="2160"/>
          </w:tcPr>
          <w:p>
            <w:r>
              <w:rPr>
                <w:rFonts w:ascii="Calibri" w:hAnsi="Calibri"/>
                <w:sz w:val="18"/>
              </w:rPr>
              <w:t>Complexity rules route to senior queue</w:t>
            </w:r>
          </w:p>
        </w:tc>
      </w:tr>
      <w:tr>
        <w:tc>
          <w:tcPr>
            <w:tcW w:type="dxa" w:w="2160"/>
            <w:shd w:fill="F2F2F2"/>
          </w:tcPr>
          <w:p>
            <w:r>
              <w:rPr>
                <w:rFonts w:ascii="Calibri" w:hAnsi="Calibri"/>
                <w:sz w:val="18"/>
              </w:rPr>
              <w:t>BR-052</w:t>
            </w:r>
          </w:p>
        </w:tc>
        <w:tc>
          <w:tcPr>
            <w:tcW w:type="dxa" w:w="2160"/>
            <w:shd w:fill="F2F2F2"/>
          </w:tcPr>
          <w:p>
            <w:r>
              <w:rPr>
                <w:rFonts w:ascii="Calibri" w:hAnsi="Calibri"/>
                <w:sz w:val="18"/>
              </w:rPr>
              <w:t>Prevent invoices stuck in review indefinitely</w:t>
            </w:r>
          </w:p>
        </w:tc>
        <w:tc>
          <w:tcPr>
            <w:tcW w:type="dxa" w:w="2160"/>
            <w:shd w:fill="F2F2F2"/>
          </w:tcPr>
          <w:p>
            <w:r>
              <w:rPr>
                <w:rFonts w:ascii="Calibri" w:hAnsi="Calibri"/>
                <w:sz w:val="18"/>
              </w:rPr>
              <w:t>Must</w:t>
            </w:r>
          </w:p>
        </w:tc>
        <w:tc>
          <w:tcPr>
            <w:tcW w:type="dxa" w:w="2160"/>
            <w:shd w:fill="F2F2F2"/>
          </w:tcPr>
          <w:p>
            <w:r>
              <w:rPr>
                <w:rFonts w:ascii="Calibri" w:hAnsi="Calibri"/>
                <w:sz w:val="18"/>
              </w:rPr>
              <w:t>Escalation after 48 hours</w:t>
            </w:r>
          </w:p>
        </w:tc>
      </w:tr>
      <w:tr>
        <w:tc>
          <w:tcPr>
            <w:tcW w:type="dxa" w:w="2160"/>
          </w:tcPr>
          <w:p>
            <w:r>
              <w:rPr>
                <w:rFonts w:ascii="Calibri" w:hAnsi="Calibri"/>
                <w:sz w:val="18"/>
              </w:rPr>
              <w:t>BR-053</w:t>
            </w:r>
          </w:p>
        </w:tc>
        <w:tc>
          <w:tcPr>
            <w:tcW w:type="dxa" w:w="2160"/>
          </w:tcPr>
          <w:p>
            <w:r>
              <w:rPr>
                <w:rFonts w:ascii="Calibri" w:hAnsi="Calibri"/>
                <w:sz w:val="18"/>
              </w:rPr>
              <w:t>Show what system learned from previous corrections</w:t>
            </w:r>
          </w:p>
        </w:tc>
        <w:tc>
          <w:tcPr>
            <w:tcW w:type="dxa" w:w="2160"/>
          </w:tcPr>
          <w:p>
            <w:r>
              <w:rPr>
                <w:rFonts w:ascii="Calibri" w:hAnsi="Calibri"/>
                <w:sz w:val="18"/>
              </w:rPr>
              <w:t>Could</w:t>
            </w:r>
          </w:p>
        </w:tc>
        <w:tc>
          <w:tcPr>
            <w:tcW w:type="dxa" w:w="2160"/>
          </w:tcPr>
          <w:p>
            <w:r>
              <w:rPr>
                <w:rFonts w:ascii="Calibri" w:hAnsi="Calibri"/>
                <w:sz w:val="18"/>
              </w:rPr>
              <w:t>Per-clerk feedback summary</w:t>
            </w:r>
          </w:p>
        </w:tc>
      </w:tr>
      <w:tr>
        <w:tc>
          <w:tcPr>
            <w:tcW w:type="dxa" w:w="2160"/>
            <w:shd w:fill="F2F2F2"/>
          </w:tcPr>
          <w:p>
            <w:r>
              <w:rPr>
                <w:rFonts w:ascii="Calibri" w:hAnsi="Calibri"/>
                <w:sz w:val="18"/>
              </w:rPr>
              <w:t>BR-054</w:t>
            </w:r>
          </w:p>
        </w:tc>
        <w:tc>
          <w:tcPr>
            <w:tcW w:type="dxa" w:w="2160"/>
            <w:shd w:fill="F2F2F2"/>
          </w:tcPr>
          <w:p>
            <w:r>
              <w:rPr>
                <w:rFonts w:ascii="Calibri" w:hAnsi="Calibri"/>
                <w:sz w:val="18"/>
              </w:rPr>
              <w:t>Support review on mobile devices</w:t>
            </w:r>
          </w:p>
        </w:tc>
        <w:tc>
          <w:tcPr>
            <w:tcW w:type="dxa" w:w="2160"/>
            <w:shd w:fill="F2F2F2"/>
          </w:tcPr>
          <w:p>
            <w:r>
              <w:rPr>
                <w:rFonts w:ascii="Calibri" w:hAnsi="Calibri"/>
                <w:sz w:val="18"/>
              </w:rPr>
              <w:t>Could</w:t>
            </w:r>
          </w:p>
        </w:tc>
        <w:tc>
          <w:tcPr>
            <w:tcW w:type="dxa" w:w="2160"/>
            <w:shd w:fill="F2F2F2"/>
          </w:tcPr>
          <w:p>
            <w:r>
              <w:rPr>
                <w:rFonts w:ascii="Calibri" w:hAnsi="Calibri"/>
                <w:sz w:val="18"/>
              </w:rPr>
              <w:t>Responsive on mobile browsers</w:t>
            </w:r>
          </w:p>
        </w:tc>
      </w:tr>
    </w:tbl>
    <w:p/>
    <w:p>
      <w:pPr>
        <w:pStyle w:val="Heading2"/>
      </w:pPr>
      <w:r>
        <w:t>4.6 Self-Learning and Feedback</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BR-055</w:t>
            </w:r>
          </w:p>
        </w:tc>
        <w:tc>
          <w:tcPr>
            <w:tcW w:type="dxa" w:w="2160"/>
          </w:tcPr>
          <w:p>
            <w:r>
              <w:rPr>
                <w:rFonts w:ascii="Calibri" w:hAnsi="Calibri"/>
                <w:sz w:val="18"/>
              </w:rPr>
              <w:t>Capture confirmed outcomes from auto-posted and reviewed invoices</w:t>
            </w:r>
          </w:p>
        </w:tc>
        <w:tc>
          <w:tcPr>
            <w:tcW w:type="dxa" w:w="2160"/>
          </w:tcPr>
          <w:p>
            <w:r>
              <w:rPr>
                <w:rFonts w:ascii="Calibri" w:hAnsi="Calibri"/>
                <w:sz w:val="18"/>
              </w:rPr>
              <w:t>Must</w:t>
            </w:r>
          </w:p>
        </w:tc>
        <w:tc>
          <w:tcPr>
            <w:tcW w:type="dxa" w:w="2160"/>
          </w:tcPr>
          <w:p>
            <w:r>
              <w:rPr>
                <w:rFonts w:ascii="Calibri" w:hAnsi="Calibri"/>
                <w:sz w:val="18"/>
              </w:rPr>
              <w:t>Indexed within 5 minutes</w:t>
            </w:r>
          </w:p>
        </w:tc>
      </w:tr>
      <w:tr>
        <w:tc>
          <w:tcPr>
            <w:tcW w:type="dxa" w:w="2160"/>
            <w:shd w:fill="F2F2F2"/>
          </w:tcPr>
          <w:p>
            <w:r>
              <w:rPr>
                <w:rFonts w:ascii="Calibri" w:hAnsi="Calibri"/>
                <w:sz w:val="18"/>
              </w:rPr>
              <w:t>BR-056</w:t>
            </w:r>
          </w:p>
        </w:tc>
        <w:tc>
          <w:tcPr>
            <w:tcW w:type="dxa" w:w="2160"/>
            <w:shd w:fill="F2F2F2"/>
          </w:tcPr>
          <w:p>
            <w:r>
              <w:rPr>
                <w:rFonts w:ascii="Calibri" w:hAnsi="Calibri"/>
                <w:sz w:val="18"/>
              </w:rPr>
              <w:t>Index confirmed outcomes into searchable corpus</w:t>
            </w:r>
          </w:p>
        </w:tc>
        <w:tc>
          <w:tcPr>
            <w:tcW w:type="dxa" w:w="2160"/>
            <w:shd w:fill="F2F2F2"/>
          </w:tcPr>
          <w:p>
            <w:r>
              <w:rPr>
                <w:rFonts w:ascii="Calibri" w:hAnsi="Calibri"/>
                <w:sz w:val="18"/>
              </w:rPr>
              <w:t>Must</w:t>
            </w:r>
          </w:p>
        </w:tc>
        <w:tc>
          <w:tcPr>
            <w:tcW w:type="dxa" w:w="2160"/>
            <w:shd w:fill="F2F2F2"/>
          </w:tcPr>
          <w:p>
            <w:r>
              <w:rPr>
                <w:rFonts w:ascii="Calibri" w:hAnsi="Calibri"/>
                <w:sz w:val="18"/>
              </w:rPr>
              <w:t>Vector store indexes embedding plus metadata</w:t>
            </w:r>
          </w:p>
        </w:tc>
      </w:tr>
      <w:tr>
        <w:tc>
          <w:tcPr>
            <w:tcW w:type="dxa" w:w="2160"/>
          </w:tcPr>
          <w:p>
            <w:r>
              <w:rPr>
                <w:rFonts w:ascii="Calibri" w:hAnsi="Calibri"/>
                <w:sz w:val="18"/>
              </w:rPr>
              <w:t>BR-057</w:t>
            </w:r>
          </w:p>
        </w:tc>
        <w:tc>
          <w:tcPr>
            <w:tcW w:type="dxa" w:w="2160"/>
          </w:tcPr>
          <w:p>
            <w:r>
              <w:rPr>
                <w:rFonts w:ascii="Calibri" w:hAnsi="Calibri"/>
                <w:sz w:val="18"/>
              </w:rPr>
              <w:t>Weight recent outcomes more heavily than old</w:t>
            </w:r>
          </w:p>
        </w:tc>
        <w:tc>
          <w:tcPr>
            <w:tcW w:type="dxa" w:w="2160"/>
          </w:tcPr>
          <w:p>
            <w:r>
              <w:rPr>
                <w:rFonts w:ascii="Calibri" w:hAnsi="Calibri"/>
                <w:sz w:val="18"/>
              </w:rPr>
              <w:t>Should</w:t>
            </w:r>
          </w:p>
        </w:tc>
        <w:tc>
          <w:tcPr>
            <w:tcW w:type="dxa" w:w="2160"/>
          </w:tcPr>
          <w:p>
            <w:r>
              <w:rPr>
                <w:rFonts w:ascii="Calibri" w:hAnsi="Calibri"/>
                <w:sz w:val="18"/>
              </w:rPr>
              <w:t>Recency decay on 12-month-old evidence</w:t>
            </w:r>
          </w:p>
        </w:tc>
      </w:tr>
      <w:tr>
        <w:tc>
          <w:tcPr>
            <w:tcW w:type="dxa" w:w="2160"/>
            <w:shd w:fill="F2F2F2"/>
          </w:tcPr>
          <w:p>
            <w:r>
              <w:rPr>
                <w:rFonts w:ascii="Calibri" w:hAnsi="Calibri"/>
                <w:sz w:val="18"/>
              </w:rPr>
              <w:t>BR-058</w:t>
            </w:r>
          </w:p>
        </w:tc>
        <w:tc>
          <w:tcPr>
            <w:tcW w:type="dxa" w:w="2160"/>
            <w:shd w:fill="F2F2F2"/>
          </w:tcPr>
          <w:p>
            <w:r>
              <w:rPr>
                <w:rFonts w:ascii="Calibri" w:hAnsi="Calibri"/>
                <w:sz w:val="18"/>
              </w:rPr>
              <w:t>Detect suspicious corrections deviating from patterns</w:t>
            </w:r>
          </w:p>
        </w:tc>
        <w:tc>
          <w:tcPr>
            <w:tcW w:type="dxa" w:w="2160"/>
            <w:shd w:fill="F2F2F2"/>
          </w:tcPr>
          <w:p>
            <w:r>
              <w:rPr>
                <w:rFonts w:ascii="Calibri" w:hAnsi="Calibri"/>
                <w:sz w:val="18"/>
              </w:rPr>
              <w:t>Should</w:t>
            </w:r>
          </w:p>
        </w:tc>
        <w:tc>
          <w:tcPr>
            <w:tcW w:type="dxa" w:w="2160"/>
            <w:shd w:fill="F2F2F2"/>
          </w:tcPr>
          <w:p>
            <w:r>
              <w:rPr>
                <w:rFonts w:ascii="Calibri" w:hAnsi="Calibri"/>
                <w:sz w:val="18"/>
              </w:rPr>
              <w:t>Corrections beyond 2 SD flagged</w:t>
            </w:r>
          </w:p>
        </w:tc>
      </w:tr>
      <w:tr>
        <w:tc>
          <w:tcPr>
            <w:tcW w:type="dxa" w:w="2160"/>
          </w:tcPr>
          <w:p>
            <w:r>
              <w:rPr>
                <w:rFonts w:ascii="Calibri" w:hAnsi="Calibri"/>
                <w:sz w:val="18"/>
              </w:rPr>
              <w:t>BR-059</w:t>
            </w:r>
          </w:p>
        </w:tc>
        <w:tc>
          <w:tcPr>
            <w:tcW w:type="dxa" w:w="2160"/>
          </w:tcPr>
          <w:p>
            <w:r>
              <w:rPr>
                <w:rFonts w:ascii="Calibri" w:hAnsi="Calibri"/>
                <w:sz w:val="18"/>
              </w:rPr>
              <w:t>Prevent single bad correction from corrupting corpus</w:t>
            </w:r>
          </w:p>
        </w:tc>
        <w:tc>
          <w:tcPr>
            <w:tcW w:type="dxa" w:w="2160"/>
          </w:tcPr>
          <w:p>
            <w:r>
              <w:rPr>
                <w:rFonts w:ascii="Calibri" w:hAnsi="Calibri"/>
                <w:sz w:val="18"/>
              </w:rPr>
              <w:t>Must</w:t>
            </w:r>
          </w:p>
        </w:tc>
        <w:tc>
          <w:tcPr>
            <w:tcW w:type="dxa" w:w="2160"/>
          </w:tcPr>
          <w:p>
            <w:r>
              <w:rPr>
                <w:rFonts w:ascii="Calibri" w:hAnsi="Calibri"/>
                <w:sz w:val="18"/>
              </w:rPr>
              <w:t>Single corrections shift confidence gradually</w:t>
            </w:r>
          </w:p>
        </w:tc>
      </w:tr>
      <w:tr>
        <w:tc>
          <w:tcPr>
            <w:tcW w:type="dxa" w:w="2160"/>
            <w:shd w:fill="F2F2F2"/>
          </w:tcPr>
          <w:p>
            <w:r>
              <w:rPr>
                <w:rFonts w:ascii="Calibri" w:hAnsi="Calibri"/>
                <w:sz w:val="18"/>
              </w:rPr>
              <w:t>BR-060</w:t>
            </w:r>
          </w:p>
        </w:tc>
        <w:tc>
          <w:tcPr>
            <w:tcW w:type="dxa" w:w="2160"/>
            <w:shd w:fill="F2F2F2"/>
          </w:tcPr>
          <w:p>
            <w:r>
              <w:rPr>
                <w:rFonts w:ascii="Calibri" w:hAnsi="Calibri"/>
                <w:sz w:val="18"/>
              </w:rPr>
              <w:t>Maintain provenance for every learned record</w:t>
            </w:r>
          </w:p>
        </w:tc>
        <w:tc>
          <w:tcPr>
            <w:tcW w:type="dxa" w:w="2160"/>
            <w:shd w:fill="F2F2F2"/>
          </w:tcPr>
          <w:p>
            <w:r>
              <w:rPr>
                <w:rFonts w:ascii="Calibri" w:hAnsi="Calibri"/>
                <w:sz w:val="18"/>
              </w:rPr>
              <w:t>Must</w:t>
            </w:r>
          </w:p>
        </w:tc>
        <w:tc>
          <w:tcPr>
            <w:tcW w:type="dxa" w:w="2160"/>
            <w:shd w:fill="F2F2F2"/>
          </w:tcPr>
          <w:p>
            <w:r>
              <w:rPr>
                <w:rFonts w:ascii="Calibri" w:hAnsi="Calibri"/>
                <w:sz w:val="18"/>
              </w:rPr>
              <w:t>Every record includes source, timestamp, user</w:t>
            </w:r>
          </w:p>
        </w:tc>
      </w:tr>
      <w:tr>
        <w:tc>
          <w:tcPr>
            <w:tcW w:type="dxa" w:w="2160"/>
          </w:tcPr>
          <w:p>
            <w:r>
              <w:rPr>
                <w:rFonts w:ascii="Calibri" w:hAnsi="Calibri"/>
                <w:sz w:val="18"/>
              </w:rPr>
              <w:t>BR-061</w:t>
            </w:r>
          </w:p>
        </w:tc>
        <w:tc>
          <w:tcPr>
            <w:tcW w:type="dxa" w:w="2160"/>
          </w:tcPr>
          <w:p>
            <w:r>
              <w:rPr>
                <w:rFonts w:ascii="Calibri" w:hAnsi="Calibri"/>
                <w:sz w:val="18"/>
              </w:rPr>
              <w:t>Allow removal or suppression of bad learned records</w:t>
            </w:r>
          </w:p>
        </w:tc>
        <w:tc>
          <w:tcPr>
            <w:tcW w:type="dxa" w:w="2160"/>
          </w:tcPr>
          <w:p>
            <w:r>
              <w:rPr>
                <w:rFonts w:ascii="Calibri" w:hAnsi="Calibri"/>
                <w:sz w:val="18"/>
              </w:rPr>
              <w:t>Should</w:t>
            </w:r>
          </w:p>
        </w:tc>
        <w:tc>
          <w:tcPr>
            <w:tcW w:type="dxa" w:w="2160"/>
          </w:tcPr>
          <w:p>
            <w:r>
              <w:rPr>
                <w:rFonts w:ascii="Calibri" w:hAnsi="Calibri"/>
                <w:sz w:val="18"/>
              </w:rPr>
              <w:t>Admin search and suppression by record ID</w:t>
            </w:r>
          </w:p>
        </w:tc>
      </w:tr>
      <w:tr>
        <w:tc>
          <w:tcPr>
            <w:tcW w:type="dxa" w:w="2160"/>
            <w:shd w:fill="F2F2F2"/>
          </w:tcPr>
          <w:p>
            <w:r>
              <w:rPr>
                <w:rFonts w:ascii="Calibri" w:hAnsi="Calibri"/>
                <w:sz w:val="18"/>
              </w:rPr>
              <w:t>BR-062</w:t>
            </w:r>
          </w:p>
        </w:tc>
        <w:tc>
          <w:tcPr>
            <w:tcW w:type="dxa" w:w="2160"/>
            <w:shd w:fill="F2F2F2"/>
          </w:tcPr>
          <w:p>
            <w:r>
              <w:rPr>
                <w:rFonts w:ascii="Calibri" w:hAnsi="Calibri"/>
                <w:sz w:val="18"/>
              </w:rPr>
              <w:t>Support recency-based decay for outdated patterns</w:t>
            </w:r>
          </w:p>
        </w:tc>
        <w:tc>
          <w:tcPr>
            <w:tcW w:type="dxa" w:w="2160"/>
            <w:shd w:fill="F2F2F2"/>
          </w:tcPr>
          <w:p>
            <w:r>
              <w:rPr>
                <w:rFonts w:ascii="Calibri" w:hAnsi="Calibri"/>
                <w:sz w:val="18"/>
              </w:rPr>
              <w:t>Should</w:t>
            </w:r>
          </w:p>
        </w:tc>
        <w:tc>
          <w:tcPr>
            <w:tcW w:type="dxa" w:w="2160"/>
            <w:shd w:fill="F2F2F2"/>
          </w:tcPr>
          <w:p>
            <w:r>
              <w:rPr>
                <w:rFonts w:ascii="Calibri" w:hAnsi="Calibri"/>
                <w:sz w:val="18"/>
              </w:rPr>
              <w:t>Decay configurable per vendor category</w:t>
            </w:r>
          </w:p>
        </w:tc>
      </w:tr>
      <w:tr>
        <w:tc>
          <w:tcPr>
            <w:tcW w:type="dxa" w:w="2160"/>
          </w:tcPr>
          <w:p>
            <w:r>
              <w:rPr>
                <w:rFonts w:ascii="Calibri" w:hAnsi="Calibri"/>
                <w:sz w:val="18"/>
              </w:rPr>
              <w:t>BR-063</w:t>
            </w:r>
          </w:p>
        </w:tc>
        <w:tc>
          <w:tcPr>
            <w:tcW w:type="dxa" w:w="2160"/>
          </w:tcPr>
          <w:p>
            <w:r>
              <w:rPr>
                <w:rFonts w:ascii="Calibri" w:hAnsi="Calibri"/>
                <w:sz w:val="18"/>
              </w:rPr>
              <w:t>Distinguish auto-posted from human-corrected outcomes</w:t>
            </w:r>
          </w:p>
        </w:tc>
        <w:tc>
          <w:tcPr>
            <w:tcW w:type="dxa" w:w="2160"/>
          </w:tcPr>
          <w:p>
            <w:r>
              <w:rPr>
                <w:rFonts w:ascii="Calibri" w:hAnsi="Calibri"/>
                <w:sz w:val="18"/>
              </w:rPr>
              <w:t>Should</w:t>
            </w:r>
          </w:p>
        </w:tc>
        <w:tc>
          <w:tcPr>
            <w:tcW w:type="dxa" w:w="2160"/>
          </w:tcPr>
          <w:p>
            <w:r>
              <w:rPr>
                <w:rFonts w:ascii="Calibri" w:hAnsi="Calibri"/>
                <w:sz w:val="18"/>
              </w:rPr>
              <w:t>Source tag distinguishes confirmed/corrected</w:t>
            </w:r>
          </w:p>
        </w:tc>
      </w:tr>
      <w:tr>
        <w:tc>
          <w:tcPr>
            <w:tcW w:type="dxa" w:w="2160"/>
            <w:shd w:fill="F2F2F2"/>
          </w:tcPr>
          <w:p>
            <w:r>
              <w:rPr>
                <w:rFonts w:ascii="Calibri" w:hAnsi="Calibri"/>
                <w:sz w:val="18"/>
              </w:rPr>
              <w:t>BR-064</w:t>
            </w:r>
          </w:p>
        </w:tc>
        <w:tc>
          <w:tcPr>
            <w:tcW w:type="dxa" w:w="2160"/>
            <w:shd w:fill="F2F2F2"/>
          </w:tcPr>
          <w:p>
            <w:r>
              <w:rPr>
                <w:rFonts w:ascii="Calibri" w:hAnsi="Calibri"/>
                <w:sz w:val="18"/>
              </w:rPr>
              <w:t>Handle conflicting corrections from multiple reviewers</w:t>
            </w:r>
          </w:p>
        </w:tc>
        <w:tc>
          <w:tcPr>
            <w:tcW w:type="dxa" w:w="2160"/>
            <w:shd w:fill="F2F2F2"/>
          </w:tcPr>
          <w:p>
            <w:r>
              <w:rPr>
                <w:rFonts w:ascii="Calibri" w:hAnsi="Calibri"/>
                <w:sz w:val="18"/>
              </w:rPr>
              <w:t>Should</w:t>
            </w:r>
          </w:p>
        </w:tc>
        <w:tc>
          <w:tcPr>
            <w:tcW w:type="dxa" w:w="2160"/>
            <w:shd w:fill="F2F2F2"/>
          </w:tcPr>
          <w:p>
            <w:r>
              <w:rPr>
                <w:rFonts w:ascii="Calibri" w:hAnsi="Calibri"/>
                <w:sz w:val="18"/>
              </w:rPr>
              <w:t>Conflicts trigger manager review</w:t>
            </w:r>
          </w:p>
        </w:tc>
      </w:tr>
      <w:tr>
        <w:tc>
          <w:tcPr>
            <w:tcW w:type="dxa" w:w="2160"/>
          </w:tcPr>
          <w:p>
            <w:r>
              <w:rPr>
                <w:rFonts w:ascii="Calibri" w:hAnsi="Calibri"/>
                <w:sz w:val="18"/>
              </w:rPr>
              <w:t>BR-065</w:t>
            </w:r>
          </w:p>
        </w:tc>
        <w:tc>
          <w:tcPr>
            <w:tcW w:type="dxa" w:w="2160"/>
          </w:tcPr>
          <w:p>
            <w:r>
              <w:rPr>
                <w:rFonts w:ascii="Calibri" w:hAnsi="Calibri"/>
                <w:sz w:val="18"/>
              </w:rPr>
              <w:t>Exclude reversed or erroneous invoices from learning</w:t>
            </w:r>
          </w:p>
        </w:tc>
        <w:tc>
          <w:tcPr>
            <w:tcW w:type="dxa" w:w="2160"/>
          </w:tcPr>
          <w:p>
            <w:r>
              <w:rPr>
                <w:rFonts w:ascii="Calibri" w:hAnsi="Calibri"/>
                <w:sz w:val="18"/>
              </w:rPr>
              <w:t>Must</w:t>
            </w:r>
          </w:p>
        </w:tc>
        <w:tc>
          <w:tcPr>
            <w:tcW w:type="dxa" w:w="2160"/>
          </w:tcPr>
          <w:p>
            <w:r>
              <w:rPr>
                <w:rFonts w:ascii="Calibri" w:hAnsi="Calibri"/>
                <w:sz w:val="18"/>
              </w:rPr>
              <w:t>Reversed invoices tagged and excluded</w:t>
            </w:r>
          </w:p>
        </w:tc>
      </w:tr>
      <w:tr>
        <w:tc>
          <w:tcPr>
            <w:tcW w:type="dxa" w:w="2160"/>
            <w:shd w:fill="F2F2F2"/>
          </w:tcPr>
          <w:p>
            <w:r>
              <w:rPr>
                <w:rFonts w:ascii="Calibri" w:hAnsi="Calibri"/>
                <w:sz w:val="18"/>
              </w:rPr>
              <w:t>BR-066</w:t>
            </w:r>
          </w:p>
        </w:tc>
        <w:tc>
          <w:tcPr>
            <w:tcW w:type="dxa" w:w="2160"/>
            <w:shd w:fill="F2F2F2"/>
          </w:tcPr>
          <w:p>
            <w:r>
              <w:rPr>
                <w:rFonts w:ascii="Calibri" w:hAnsi="Calibri"/>
                <w:sz w:val="18"/>
              </w:rPr>
              <w:t>Support bulk re-indexing</w:t>
            </w:r>
          </w:p>
        </w:tc>
        <w:tc>
          <w:tcPr>
            <w:tcW w:type="dxa" w:w="2160"/>
            <w:shd w:fill="F2F2F2"/>
          </w:tcPr>
          <w:p>
            <w:r>
              <w:rPr>
                <w:rFonts w:ascii="Calibri" w:hAnsi="Calibri"/>
                <w:sz w:val="18"/>
              </w:rPr>
              <w:t>Could</w:t>
            </w:r>
          </w:p>
        </w:tc>
        <w:tc>
          <w:tcPr>
            <w:tcW w:type="dxa" w:w="2160"/>
            <w:shd w:fill="F2F2F2"/>
          </w:tcPr>
          <w:p>
            <w:r>
              <w:rPr>
                <w:rFonts w:ascii="Calibri" w:hAnsi="Calibri"/>
                <w:sz w:val="18"/>
              </w:rPr>
              <w:t>Full re-index within 24 hours</w:t>
            </w:r>
          </w:p>
        </w:tc>
      </w:tr>
    </w:tbl>
    <w:p/>
    <w:p>
      <w:pPr>
        <w:pStyle w:val="Heading2"/>
      </w:pPr>
      <w:r>
        <w:t>4.7 Conversational Learning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BR-067</w:t>
            </w:r>
          </w:p>
        </w:tc>
        <w:tc>
          <w:tcPr>
            <w:tcW w:type="dxa" w:w="2160"/>
          </w:tcPr>
          <w:p>
            <w:r>
              <w:rPr>
                <w:rFonts w:ascii="Calibri" w:hAnsi="Calibri"/>
                <w:sz w:val="18"/>
              </w:rPr>
              <w:t>Accept natural language input through chat interface</w:t>
            </w:r>
          </w:p>
        </w:tc>
        <w:tc>
          <w:tcPr>
            <w:tcW w:type="dxa" w:w="2160"/>
          </w:tcPr>
          <w:p>
            <w:r>
              <w:rPr>
                <w:rFonts w:ascii="Calibri" w:hAnsi="Calibri"/>
                <w:sz w:val="18"/>
              </w:rPr>
              <w:t>Should</w:t>
            </w:r>
          </w:p>
        </w:tc>
        <w:tc>
          <w:tcPr>
            <w:tcW w:type="dxa" w:w="2160"/>
          </w:tcPr>
          <w:p>
            <w:r>
              <w:rPr>
                <w:rFonts w:ascii="Calibri" w:hAnsi="Calibri"/>
                <w:sz w:val="18"/>
              </w:rPr>
              <w:t>Chat accepts free text and parses intent</w:t>
            </w:r>
          </w:p>
        </w:tc>
      </w:tr>
      <w:tr>
        <w:tc>
          <w:tcPr>
            <w:tcW w:type="dxa" w:w="2160"/>
            <w:shd w:fill="F2F2F2"/>
          </w:tcPr>
          <w:p>
            <w:r>
              <w:rPr>
                <w:rFonts w:ascii="Calibri" w:hAnsi="Calibri"/>
                <w:sz w:val="18"/>
              </w:rPr>
              <w:t>BR-068</w:t>
            </w:r>
          </w:p>
        </w:tc>
        <w:tc>
          <w:tcPr>
            <w:tcW w:type="dxa" w:w="2160"/>
            <w:shd w:fill="F2F2F2"/>
          </w:tcPr>
          <w:p>
            <w:r>
              <w:rPr>
                <w:rFonts w:ascii="Calibri" w:hAnsi="Calibri"/>
                <w:sz w:val="18"/>
              </w:rPr>
              <w:t>Parse natural language into structured rules</w:t>
            </w:r>
          </w:p>
        </w:tc>
        <w:tc>
          <w:tcPr>
            <w:tcW w:type="dxa" w:w="2160"/>
            <w:shd w:fill="F2F2F2"/>
          </w:tcPr>
          <w:p>
            <w:r>
              <w:rPr>
                <w:rFonts w:ascii="Calibri" w:hAnsi="Calibri"/>
                <w:sz w:val="18"/>
              </w:rPr>
              <w:t>Should</w:t>
            </w:r>
          </w:p>
        </w:tc>
        <w:tc>
          <w:tcPr>
            <w:tcW w:type="dxa" w:w="2160"/>
            <w:shd w:fill="F2F2F2"/>
          </w:tcPr>
          <w:p>
            <w:r>
              <w:rPr>
                <w:rFonts w:ascii="Calibri" w:hAnsi="Calibri"/>
                <w:sz w:val="18"/>
              </w:rPr>
              <w:t>Parsed rule displayed for confirmation</w:t>
            </w:r>
          </w:p>
        </w:tc>
      </w:tr>
      <w:tr>
        <w:tc>
          <w:tcPr>
            <w:tcW w:type="dxa" w:w="2160"/>
          </w:tcPr>
          <w:p>
            <w:r>
              <w:rPr>
                <w:rFonts w:ascii="Calibri" w:hAnsi="Calibri"/>
                <w:sz w:val="18"/>
              </w:rPr>
              <w:t>BR-069</w:t>
            </w:r>
          </w:p>
        </w:tc>
        <w:tc>
          <w:tcPr>
            <w:tcW w:type="dxa" w:w="2160"/>
          </w:tcPr>
          <w:p>
            <w:r>
              <w:rPr>
                <w:rFonts w:ascii="Calibri" w:hAnsi="Calibri"/>
                <w:sz w:val="18"/>
              </w:rPr>
              <w:t>Validate parsed rules before applying</w:t>
            </w:r>
          </w:p>
        </w:tc>
        <w:tc>
          <w:tcPr>
            <w:tcW w:type="dxa" w:w="2160"/>
          </w:tcPr>
          <w:p>
            <w:r>
              <w:rPr>
                <w:rFonts w:ascii="Calibri" w:hAnsi="Calibri"/>
                <w:sz w:val="18"/>
              </w:rPr>
              <w:t>Should</w:t>
            </w:r>
          </w:p>
        </w:tc>
        <w:tc>
          <w:tcPr>
            <w:tcW w:type="dxa" w:w="2160"/>
          </w:tcPr>
          <w:p>
            <w:r>
              <w:rPr>
                <w:rFonts w:ascii="Calibri" w:hAnsi="Calibri"/>
                <w:sz w:val="18"/>
              </w:rPr>
              <w:t>Validation checks vendor, account, condition</w:t>
            </w:r>
          </w:p>
        </w:tc>
      </w:tr>
      <w:tr>
        <w:tc>
          <w:tcPr>
            <w:tcW w:type="dxa" w:w="2160"/>
            <w:shd w:fill="F2F2F2"/>
          </w:tcPr>
          <w:p>
            <w:r>
              <w:rPr>
                <w:rFonts w:ascii="Calibri" w:hAnsi="Calibri"/>
                <w:sz w:val="18"/>
              </w:rPr>
              <w:t>BR-070</w:t>
            </w:r>
          </w:p>
        </w:tc>
        <w:tc>
          <w:tcPr>
            <w:tcW w:type="dxa" w:w="2160"/>
            <w:shd w:fill="F2F2F2"/>
          </w:tcPr>
          <w:p>
            <w:r>
              <w:rPr>
                <w:rFonts w:ascii="Calibri" w:hAnsi="Calibri"/>
                <w:sz w:val="18"/>
              </w:rPr>
              <w:t>Store conversational rules with full provenance</w:t>
            </w:r>
          </w:p>
        </w:tc>
        <w:tc>
          <w:tcPr>
            <w:tcW w:type="dxa" w:w="2160"/>
            <w:shd w:fill="F2F2F2"/>
          </w:tcPr>
          <w:p>
            <w:r>
              <w:rPr>
                <w:rFonts w:ascii="Calibri" w:hAnsi="Calibri"/>
                <w:sz w:val="18"/>
              </w:rPr>
              <w:t>Must</w:t>
            </w:r>
          </w:p>
        </w:tc>
        <w:tc>
          <w:tcPr>
            <w:tcW w:type="dxa" w:w="2160"/>
            <w:shd w:fill="F2F2F2"/>
          </w:tcPr>
          <w:p>
            <w:r>
              <w:rPr>
                <w:rFonts w:ascii="Calibri" w:hAnsi="Calibri"/>
                <w:sz w:val="18"/>
              </w:rPr>
              <w:t>Includes author ID, timestamp, raw text</w:t>
            </w:r>
          </w:p>
        </w:tc>
      </w:tr>
      <w:tr>
        <w:tc>
          <w:tcPr>
            <w:tcW w:type="dxa" w:w="2160"/>
          </w:tcPr>
          <w:p>
            <w:r>
              <w:rPr>
                <w:rFonts w:ascii="Calibri" w:hAnsi="Calibri"/>
                <w:sz w:val="18"/>
              </w:rPr>
              <w:t>BR-071</w:t>
            </w:r>
          </w:p>
        </w:tc>
        <w:tc>
          <w:tcPr>
            <w:tcW w:type="dxa" w:w="2160"/>
          </w:tcPr>
          <w:p>
            <w:r>
              <w:rPr>
                <w:rFonts w:ascii="Calibri" w:hAnsi="Calibri"/>
                <w:sz w:val="18"/>
              </w:rPr>
              <w:t>Apply conversational rules when conflicting with retrieved patterns</w:t>
            </w:r>
          </w:p>
        </w:tc>
        <w:tc>
          <w:tcPr>
            <w:tcW w:type="dxa" w:w="2160"/>
          </w:tcPr>
          <w:p>
            <w:r>
              <w:rPr>
                <w:rFonts w:ascii="Calibri" w:hAnsi="Calibri"/>
                <w:sz w:val="18"/>
              </w:rPr>
              <w:t>Should</w:t>
            </w:r>
          </w:p>
        </w:tc>
        <w:tc>
          <w:tcPr>
            <w:tcW w:type="dxa" w:w="2160"/>
          </w:tcPr>
          <w:p>
            <w:r>
              <w:rPr>
                <w:rFonts w:ascii="Calibri" w:hAnsi="Calibri"/>
                <w:sz w:val="18"/>
              </w:rPr>
              <w:t>Conversational rules take precedence over thin retrieval</w:t>
            </w:r>
          </w:p>
        </w:tc>
      </w:tr>
      <w:tr>
        <w:tc>
          <w:tcPr>
            <w:tcW w:type="dxa" w:w="2160"/>
            <w:shd w:fill="F2F2F2"/>
          </w:tcPr>
          <w:p>
            <w:r>
              <w:rPr>
                <w:rFonts w:ascii="Calibri" w:hAnsi="Calibri"/>
                <w:sz w:val="18"/>
              </w:rPr>
              <w:t>BR-072</w:t>
            </w:r>
          </w:p>
        </w:tc>
        <w:tc>
          <w:tcPr>
            <w:tcW w:type="dxa" w:w="2160"/>
            <w:shd w:fill="F2F2F2"/>
          </w:tcPr>
          <w:p>
            <w:r>
              <w:rPr>
                <w:rFonts w:ascii="Calibri" w:hAnsi="Calibri"/>
                <w:sz w:val="18"/>
              </w:rPr>
              <w:t>Flag conflicts between conversational rules and learned patterns</w:t>
            </w:r>
          </w:p>
        </w:tc>
        <w:tc>
          <w:tcPr>
            <w:tcW w:type="dxa" w:w="2160"/>
            <w:shd w:fill="F2F2F2"/>
          </w:tcPr>
          <w:p>
            <w:r>
              <w:rPr>
                <w:rFonts w:ascii="Calibri" w:hAnsi="Calibri"/>
                <w:sz w:val="18"/>
              </w:rPr>
              <w:t>Should</w:t>
            </w:r>
          </w:p>
        </w:tc>
        <w:tc>
          <w:tcPr>
            <w:tcW w:type="dxa" w:w="2160"/>
            <w:shd w:fill="F2F2F2"/>
          </w:tcPr>
          <w:p>
            <w:r>
              <w:rPr>
                <w:rFonts w:ascii="Calibri" w:hAnsi="Calibri"/>
                <w:sz w:val="18"/>
              </w:rPr>
              <w:t>Conflict dashboard shows active conflicts</w:t>
            </w:r>
          </w:p>
        </w:tc>
      </w:tr>
      <w:tr>
        <w:tc>
          <w:tcPr>
            <w:tcW w:type="dxa" w:w="2160"/>
          </w:tcPr>
          <w:p>
            <w:r>
              <w:rPr>
                <w:rFonts w:ascii="Calibri" w:hAnsi="Calibri"/>
                <w:sz w:val="18"/>
              </w:rPr>
              <w:t>BR-073</w:t>
            </w:r>
          </w:p>
        </w:tc>
        <w:tc>
          <w:tcPr>
            <w:tcW w:type="dxa" w:w="2160"/>
          </w:tcPr>
          <w:p>
            <w:r>
              <w:rPr>
                <w:rFonts w:ascii="Calibri" w:hAnsi="Calibri"/>
                <w:sz w:val="18"/>
              </w:rPr>
              <w:t>Allow users to view and retract their own rules</w:t>
            </w:r>
          </w:p>
        </w:tc>
        <w:tc>
          <w:tcPr>
            <w:tcW w:type="dxa" w:w="2160"/>
          </w:tcPr>
          <w:p>
            <w:r>
              <w:rPr>
                <w:rFonts w:ascii="Calibri" w:hAnsi="Calibri"/>
                <w:sz w:val="18"/>
              </w:rPr>
              <w:t>Should</w:t>
            </w:r>
          </w:p>
        </w:tc>
        <w:tc>
          <w:tcPr>
            <w:tcW w:type="dxa" w:w="2160"/>
          </w:tcPr>
          <w:p>
            <w:r>
              <w:rPr>
                <w:rFonts w:ascii="Calibri" w:hAnsi="Calibri"/>
                <w:sz w:val="18"/>
              </w:rPr>
              <w:t>Users can deactivate rules they created</w:t>
            </w:r>
          </w:p>
        </w:tc>
      </w:tr>
      <w:tr>
        <w:tc>
          <w:tcPr>
            <w:tcW w:type="dxa" w:w="2160"/>
            <w:shd w:fill="F2F2F2"/>
          </w:tcPr>
          <w:p>
            <w:r>
              <w:rPr>
                <w:rFonts w:ascii="Calibri" w:hAnsi="Calibri"/>
                <w:sz w:val="18"/>
              </w:rPr>
              <w:t>BR-074</w:t>
            </w:r>
          </w:p>
        </w:tc>
        <w:tc>
          <w:tcPr>
            <w:tcW w:type="dxa" w:w="2160"/>
            <w:shd w:fill="F2F2F2"/>
          </w:tcPr>
          <w:p>
            <w:r>
              <w:rPr>
                <w:rFonts w:ascii="Calibri" w:hAnsi="Calibri"/>
                <w:sz w:val="18"/>
              </w:rPr>
              <w:t>Ask for clarification when input is ambiguous</w:t>
            </w:r>
          </w:p>
        </w:tc>
        <w:tc>
          <w:tcPr>
            <w:tcW w:type="dxa" w:w="2160"/>
            <w:shd w:fill="F2F2F2"/>
          </w:tcPr>
          <w:p>
            <w:r>
              <w:rPr>
                <w:rFonts w:ascii="Calibri" w:hAnsi="Calibri"/>
                <w:sz w:val="18"/>
              </w:rPr>
              <w:t>Should</w:t>
            </w:r>
          </w:p>
        </w:tc>
        <w:tc>
          <w:tcPr>
            <w:tcW w:type="dxa" w:w="2160"/>
            <w:shd w:fill="F2F2F2"/>
          </w:tcPr>
          <w:p>
            <w:r>
              <w:rPr>
                <w:rFonts w:ascii="Calibri" w:hAnsi="Calibri"/>
                <w:sz w:val="18"/>
              </w:rPr>
              <w:t>Clarifying question when intent confidence low</w:t>
            </w:r>
          </w:p>
        </w:tc>
      </w:tr>
      <w:tr>
        <w:tc>
          <w:tcPr>
            <w:tcW w:type="dxa" w:w="2160"/>
          </w:tcPr>
          <w:p>
            <w:r>
              <w:rPr>
                <w:rFonts w:ascii="Calibri" w:hAnsi="Calibri"/>
                <w:sz w:val="18"/>
              </w:rPr>
              <w:t>BR-075</w:t>
            </w:r>
          </w:p>
        </w:tc>
        <w:tc>
          <w:tcPr>
            <w:tcW w:type="dxa" w:w="2160"/>
          </w:tcPr>
          <w:p>
            <w:r>
              <w:rPr>
                <w:rFonts w:ascii="Calibri" w:hAnsi="Calibri"/>
                <w:sz w:val="18"/>
              </w:rPr>
              <w:t>Confirm understanding before applying a rule</w:t>
            </w:r>
          </w:p>
        </w:tc>
        <w:tc>
          <w:tcPr>
            <w:tcW w:type="dxa" w:w="2160"/>
          </w:tcPr>
          <w:p>
            <w:r>
              <w:rPr>
                <w:rFonts w:ascii="Calibri" w:hAnsi="Calibri"/>
                <w:sz w:val="18"/>
              </w:rPr>
              <w:t>Should</w:t>
            </w:r>
          </w:p>
        </w:tc>
        <w:tc>
          <w:tcPr>
            <w:tcW w:type="dxa" w:w="2160"/>
          </w:tcPr>
          <w:p>
            <w:r>
              <w:rPr>
                <w:rFonts w:ascii="Calibri" w:hAnsi="Calibri"/>
                <w:sz w:val="18"/>
              </w:rPr>
              <w:t>Parsed rule shown for explicit confirmation</w:t>
            </w:r>
          </w:p>
        </w:tc>
      </w:tr>
      <w:tr>
        <w:tc>
          <w:tcPr>
            <w:tcW w:type="dxa" w:w="2160"/>
            <w:shd w:fill="F2F2F2"/>
          </w:tcPr>
          <w:p>
            <w:r>
              <w:rPr>
                <w:rFonts w:ascii="Calibri" w:hAnsi="Calibri"/>
                <w:sz w:val="18"/>
              </w:rPr>
              <w:t>BR-076</w:t>
            </w:r>
          </w:p>
        </w:tc>
        <w:tc>
          <w:tcPr>
            <w:tcW w:type="dxa" w:w="2160"/>
            <w:shd w:fill="F2F2F2"/>
          </w:tcPr>
          <w:p>
            <w:r>
              <w:rPr>
                <w:rFonts w:ascii="Calibri" w:hAnsi="Calibri"/>
                <w:sz w:val="18"/>
              </w:rPr>
              <w:t>Support rules with amount thresholds and date ranges</w:t>
            </w:r>
          </w:p>
        </w:tc>
        <w:tc>
          <w:tcPr>
            <w:tcW w:type="dxa" w:w="2160"/>
            <w:shd w:fill="F2F2F2"/>
          </w:tcPr>
          <w:p>
            <w:r>
              <w:rPr>
                <w:rFonts w:ascii="Calibri" w:hAnsi="Calibri"/>
                <w:sz w:val="18"/>
              </w:rPr>
              <w:t>Should</w:t>
            </w:r>
          </w:p>
        </w:tc>
        <w:tc>
          <w:tcPr>
            <w:tcW w:type="dxa" w:w="2160"/>
            <w:shd w:fill="F2F2F2"/>
          </w:tcPr>
          <w:p>
            <w:r>
              <w:rPr>
                <w:rFonts w:ascii="Calibri" w:hAnsi="Calibri"/>
                <w:sz w:val="18"/>
              </w:rPr>
              <w:t>Conditions support operators and ranges</w:t>
            </w:r>
          </w:p>
        </w:tc>
      </w:tr>
      <w:tr>
        <w:tc>
          <w:tcPr>
            <w:tcW w:type="dxa" w:w="2160"/>
          </w:tcPr>
          <w:p>
            <w:r>
              <w:rPr>
                <w:rFonts w:ascii="Calibri" w:hAnsi="Calibri"/>
                <w:sz w:val="18"/>
              </w:rPr>
              <w:t>BR-077</w:t>
            </w:r>
          </w:p>
        </w:tc>
        <w:tc>
          <w:tcPr>
            <w:tcW w:type="dxa" w:w="2160"/>
          </w:tcPr>
          <w:p>
            <w:r>
              <w:rPr>
                <w:rFonts w:ascii="Calibri" w:hAnsi="Calibri"/>
                <w:sz w:val="18"/>
              </w:rPr>
              <w:t>Support rules with exceptions</w:t>
            </w:r>
          </w:p>
        </w:tc>
        <w:tc>
          <w:tcPr>
            <w:tcW w:type="dxa" w:w="2160"/>
          </w:tcPr>
          <w:p>
            <w:r>
              <w:rPr>
                <w:rFonts w:ascii="Calibri" w:hAnsi="Calibri"/>
                <w:sz w:val="18"/>
              </w:rPr>
              <w:t>Should</w:t>
            </w:r>
          </w:p>
        </w:tc>
        <w:tc>
          <w:tcPr>
            <w:tcW w:type="dxa" w:w="2160"/>
          </w:tcPr>
          <w:p>
            <w:r>
              <w:rPr>
                <w:rFonts w:ascii="Calibri" w:hAnsi="Calibri"/>
                <w:sz w:val="18"/>
              </w:rPr>
              <w:t>Exception clauses parsed and stored</w:t>
            </w:r>
          </w:p>
        </w:tc>
      </w:tr>
    </w:tbl>
    <w:p/>
    <w:p>
      <w:pPr>
        <w:pStyle w:val="Heading2"/>
      </w:pPr>
      <w:r>
        <w:t>4.8 Compliance and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BR-078</w:t>
            </w:r>
          </w:p>
        </w:tc>
        <w:tc>
          <w:tcPr>
            <w:tcW w:type="dxa" w:w="2160"/>
          </w:tcPr>
          <w:p>
            <w:r>
              <w:rPr>
                <w:rFonts w:ascii="Calibri" w:hAnsi="Calibri"/>
                <w:sz w:val="18"/>
              </w:rPr>
              <w:t>Maintain complete trace for every coding decision</w:t>
            </w:r>
          </w:p>
        </w:tc>
        <w:tc>
          <w:tcPr>
            <w:tcW w:type="dxa" w:w="2160"/>
          </w:tcPr>
          <w:p>
            <w:r>
              <w:rPr>
                <w:rFonts w:ascii="Calibri" w:hAnsi="Calibri"/>
                <w:sz w:val="18"/>
              </w:rPr>
              <w:t>Must</w:t>
            </w:r>
          </w:p>
        </w:tc>
        <w:tc>
          <w:tcPr>
            <w:tcW w:type="dxa" w:w="2160"/>
          </w:tcPr>
          <w:p>
            <w:r>
              <w:rPr>
                <w:rFonts w:ascii="Calibri" w:hAnsi="Calibri"/>
                <w:sz w:val="18"/>
              </w:rPr>
              <w:t>Trace ID links all decision components</w:t>
            </w:r>
          </w:p>
        </w:tc>
      </w:tr>
      <w:tr>
        <w:tc>
          <w:tcPr>
            <w:tcW w:type="dxa" w:w="2160"/>
            <w:shd w:fill="F2F2F2"/>
          </w:tcPr>
          <w:p>
            <w:r>
              <w:rPr>
                <w:rFonts w:ascii="Calibri" w:hAnsi="Calibri"/>
                <w:sz w:val="18"/>
              </w:rPr>
              <w:t>BR-079</w:t>
            </w:r>
          </w:p>
        </w:tc>
        <w:tc>
          <w:tcPr>
            <w:tcW w:type="dxa" w:w="2160"/>
            <w:shd w:fill="F2F2F2"/>
          </w:tcPr>
          <w:p>
            <w:r>
              <w:rPr>
                <w:rFonts w:ascii="Calibri" w:hAnsi="Calibri"/>
                <w:sz w:val="18"/>
              </w:rPr>
              <w:t>Record evidence used for every prediction</w:t>
            </w:r>
          </w:p>
        </w:tc>
        <w:tc>
          <w:tcPr>
            <w:tcW w:type="dxa" w:w="2160"/>
            <w:shd w:fill="F2F2F2"/>
          </w:tcPr>
          <w:p>
            <w:r>
              <w:rPr>
                <w:rFonts w:ascii="Calibri" w:hAnsi="Calibri"/>
                <w:sz w:val="18"/>
              </w:rPr>
              <w:t>Must</w:t>
            </w:r>
          </w:p>
        </w:tc>
        <w:tc>
          <w:tcPr>
            <w:tcW w:type="dxa" w:w="2160"/>
            <w:shd w:fill="F2F2F2"/>
          </w:tcPr>
          <w:p>
            <w:r>
              <w:rPr>
                <w:rFonts w:ascii="Calibri" w:hAnsi="Calibri"/>
                <w:sz w:val="18"/>
              </w:rPr>
              <w:t>Retrieved evidence IDs stored in trace</w:t>
            </w:r>
          </w:p>
        </w:tc>
      </w:tr>
      <w:tr>
        <w:tc>
          <w:tcPr>
            <w:tcW w:type="dxa" w:w="2160"/>
          </w:tcPr>
          <w:p>
            <w:r>
              <w:rPr>
                <w:rFonts w:ascii="Calibri" w:hAnsi="Calibri"/>
                <w:sz w:val="18"/>
              </w:rPr>
              <w:t>BR-080</w:t>
            </w:r>
          </w:p>
        </w:tc>
        <w:tc>
          <w:tcPr>
            <w:tcW w:type="dxa" w:w="2160"/>
          </w:tcPr>
          <w:p>
            <w:r>
              <w:rPr>
                <w:rFonts w:ascii="Calibri" w:hAnsi="Calibri"/>
                <w:sz w:val="18"/>
              </w:rPr>
              <w:t>Record confidence score and threshold at decision time</w:t>
            </w:r>
          </w:p>
        </w:tc>
        <w:tc>
          <w:tcPr>
            <w:tcW w:type="dxa" w:w="2160"/>
          </w:tcPr>
          <w:p>
            <w:r>
              <w:rPr>
                <w:rFonts w:ascii="Calibri" w:hAnsi="Calibri"/>
                <w:sz w:val="18"/>
              </w:rPr>
              <w:t>Must</w:t>
            </w:r>
          </w:p>
        </w:tc>
        <w:tc>
          <w:tcPr>
            <w:tcW w:type="dxa" w:w="2160"/>
          </w:tcPr>
          <w:p>
            <w:r>
              <w:rPr>
                <w:rFonts w:ascii="Calibri" w:hAnsi="Calibri"/>
                <w:sz w:val="18"/>
              </w:rPr>
              <w:t>Score and threshold logged</w:t>
            </w:r>
          </w:p>
        </w:tc>
      </w:tr>
      <w:tr>
        <w:tc>
          <w:tcPr>
            <w:tcW w:type="dxa" w:w="2160"/>
            <w:shd w:fill="F2F2F2"/>
          </w:tcPr>
          <w:p>
            <w:r>
              <w:rPr>
                <w:rFonts w:ascii="Calibri" w:hAnsi="Calibri"/>
                <w:sz w:val="18"/>
              </w:rPr>
              <w:t>BR-081</w:t>
            </w:r>
          </w:p>
        </w:tc>
        <w:tc>
          <w:tcPr>
            <w:tcW w:type="dxa" w:w="2160"/>
            <w:shd w:fill="F2F2F2"/>
          </w:tcPr>
          <w:p>
            <w:r>
              <w:rPr>
                <w:rFonts w:ascii="Calibri" w:hAnsi="Calibri"/>
                <w:sz w:val="18"/>
              </w:rPr>
              <w:t>Record whether invoice was auto-posted or reviewed</w:t>
            </w:r>
          </w:p>
        </w:tc>
        <w:tc>
          <w:tcPr>
            <w:tcW w:type="dxa" w:w="2160"/>
            <w:shd w:fill="F2F2F2"/>
          </w:tcPr>
          <w:p>
            <w:r>
              <w:rPr>
                <w:rFonts w:ascii="Calibri" w:hAnsi="Calibri"/>
                <w:sz w:val="18"/>
              </w:rPr>
              <w:t>Must</w:t>
            </w:r>
          </w:p>
        </w:tc>
        <w:tc>
          <w:tcPr>
            <w:tcW w:type="dxa" w:w="2160"/>
            <w:shd w:fill="F2F2F2"/>
          </w:tcPr>
          <w:p>
            <w:r>
              <w:rPr>
                <w:rFonts w:ascii="Calibri" w:hAnsi="Calibri"/>
                <w:sz w:val="18"/>
              </w:rPr>
              <w:t>Routing path logged</w:t>
            </w:r>
          </w:p>
        </w:tc>
      </w:tr>
      <w:tr>
        <w:tc>
          <w:tcPr>
            <w:tcW w:type="dxa" w:w="2160"/>
          </w:tcPr>
          <w:p>
            <w:r>
              <w:rPr>
                <w:rFonts w:ascii="Calibri" w:hAnsi="Calibri"/>
                <w:sz w:val="18"/>
              </w:rPr>
              <w:t>BR-082</w:t>
            </w:r>
          </w:p>
        </w:tc>
        <w:tc>
          <w:tcPr>
            <w:tcW w:type="dxa" w:w="2160"/>
          </w:tcPr>
          <w:p>
            <w:r>
              <w:rPr>
                <w:rFonts w:ascii="Calibri" w:hAnsi="Calibri"/>
                <w:sz w:val="18"/>
              </w:rPr>
              <w:t>Record reviewer identity and action</w:t>
            </w:r>
          </w:p>
        </w:tc>
        <w:tc>
          <w:tcPr>
            <w:tcW w:type="dxa" w:w="2160"/>
          </w:tcPr>
          <w:p>
            <w:r>
              <w:rPr>
                <w:rFonts w:ascii="Calibri" w:hAnsi="Calibri"/>
                <w:sz w:val="18"/>
              </w:rPr>
              <w:t>Must</w:t>
            </w:r>
          </w:p>
        </w:tc>
        <w:tc>
          <w:tcPr>
            <w:tcW w:type="dxa" w:w="2160"/>
          </w:tcPr>
          <w:p>
            <w:r>
              <w:rPr>
                <w:rFonts w:ascii="Calibri" w:hAnsi="Calibri"/>
                <w:sz w:val="18"/>
              </w:rPr>
              <w:t>User ID and action logged with timestamp</w:t>
            </w:r>
          </w:p>
        </w:tc>
      </w:tr>
      <w:tr>
        <w:tc>
          <w:tcPr>
            <w:tcW w:type="dxa" w:w="2160"/>
            <w:shd w:fill="F2F2F2"/>
          </w:tcPr>
          <w:p>
            <w:r>
              <w:rPr>
                <w:rFonts w:ascii="Calibri" w:hAnsi="Calibri"/>
                <w:sz w:val="18"/>
              </w:rPr>
              <w:t>BR-083</w:t>
            </w:r>
          </w:p>
        </w:tc>
        <w:tc>
          <w:tcPr>
            <w:tcW w:type="dxa" w:w="2160"/>
            <w:shd w:fill="F2F2F2"/>
          </w:tcPr>
          <w:p>
            <w:r>
              <w:rPr>
                <w:rFonts w:ascii="Calibri" w:hAnsi="Calibri"/>
                <w:sz w:val="18"/>
              </w:rPr>
              <w:t>Retain decision traces as long as invoice record</w:t>
            </w:r>
          </w:p>
        </w:tc>
        <w:tc>
          <w:tcPr>
            <w:tcW w:type="dxa" w:w="2160"/>
            <w:shd w:fill="F2F2F2"/>
          </w:tcPr>
          <w:p>
            <w:r>
              <w:rPr>
                <w:rFonts w:ascii="Calibri" w:hAnsi="Calibri"/>
                <w:sz w:val="18"/>
              </w:rPr>
              <w:t>Must</w:t>
            </w:r>
          </w:p>
        </w:tc>
        <w:tc>
          <w:tcPr>
            <w:tcW w:type="dxa" w:w="2160"/>
            <w:shd w:fill="F2F2F2"/>
          </w:tcPr>
          <w:p>
            <w:r>
              <w:rPr>
                <w:rFonts w:ascii="Calibri" w:hAnsi="Calibri"/>
                <w:sz w:val="18"/>
              </w:rPr>
              <w:t>Retention matches invoice retention</w:t>
            </w:r>
          </w:p>
        </w:tc>
      </w:tr>
      <w:tr>
        <w:tc>
          <w:tcPr>
            <w:tcW w:type="dxa" w:w="2160"/>
          </w:tcPr>
          <w:p>
            <w:r>
              <w:rPr>
                <w:rFonts w:ascii="Calibri" w:hAnsi="Calibri"/>
                <w:sz w:val="18"/>
              </w:rPr>
              <w:t>BR-084</w:t>
            </w:r>
          </w:p>
        </w:tc>
        <w:tc>
          <w:tcPr>
            <w:tcW w:type="dxa" w:w="2160"/>
          </w:tcPr>
          <w:p>
            <w:r>
              <w:rPr>
                <w:rFonts w:ascii="Calibri" w:hAnsi="Calibri"/>
                <w:sz w:val="18"/>
              </w:rPr>
              <w:t>Produce audit reports on demand for any date range</w:t>
            </w:r>
          </w:p>
        </w:tc>
        <w:tc>
          <w:tcPr>
            <w:tcW w:type="dxa" w:w="2160"/>
          </w:tcPr>
          <w:p>
            <w:r>
              <w:rPr>
                <w:rFonts w:ascii="Calibri" w:hAnsi="Calibri"/>
                <w:sz w:val="18"/>
              </w:rPr>
              <w:t>Must</w:t>
            </w:r>
          </w:p>
        </w:tc>
        <w:tc>
          <w:tcPr>
            <w:tcW w:type="dxa" w:w="2160"/>
          </w:tcPr>
          <w:p>
            <w:r>
              <w:rPr>
                <w:rFonts w:ascii="Calibri" w:hAnsi="Calibri"/>
                <w:sz w:val="18"/>
              </w:rPr>
              <w:t>Report within 5 minutes for 90-day range</w:t>
            </w:r>
          </w:p>
        </w:tc>
      </w:tr>
      <w:tr>
        <w:tc>
          <w:tcPr>
            <w:tcW w:type="dxa" w:w="2160"/>
            <w:shd w:fill="F2F2F2"/>
          </w:tcPr>
          <w:p>
            <w:r>
              <w:rPr>
                <w:rFonts w:ascii="Calibri" w:hAnsi="Calibri"/>
                <w:sz w:val="18"/>
              </w:rPr>
              <w:t>BR-085</w:t>
            </w:r>
          </w:p>
        </w:tc>
        <w:tc>
          <w:tcPr>
            <w:tcW w:type="dxa" w:w="2160"/>
            <w:shd w:fill="F2F2F2"/>
          </w:tcPr>
          <w:p>
            <w:r>
              <w:rPr>
                <w:rFonts w:ascii="Calibri" w:hAnsi="Calibri"/>
                <w:sz w:val="18"/>
              </w:rPr>
              <w:t>Allow full decision reconstruction from single identifier</w:t>
            </w:r>
          </w:p>
        </w:tc>
        <w:tc>
          <w:tcPr>
            <w:tcW w:type="dxa" w:w="2160"/>
            <w:shd w:fill="F2F2F2"/>
          </w:tcPr>
          <w:p>
            <w:r>
              <w:rPr>
                <w:rFonts w:ascii="Calibri" w:hAnsi="Calibri"/>
                <w:sz w:val="18"/>
              </w:rPr>
              <w:t>Must</w:t>
            </w:r>
          </w:p>
        </w:tc>
        <w:tc>
          <w:tcPr>
            <w:tcW w:type="dxa" w:w="2160"/>
            <w:shd w:fill="F2F2F2"/>
          </w:tcPr>
          <w:p>
            <w:r>
              <w:rPr>
                <w:rFonts w:ascii="Calibri" w:hAnsi="Calibri"/>
                <w:sz w:val="18"/>
              </w:rPr>
              <w:t>Trace ID resolves to full decision graph</w:t>
            </w:r>
          </w:p>
        </w:tc>
      </w:tr>
      <w:tr>
        <w:tc>
          <w:tcPr>
            <w:tcW w:type="dxa" w:w="2160"/>
          </w:tcPr>
          <w:p>
            <w:r>
              <w:rPr>
                <w:rFonts w:ascii="Calibri" w:hAnsi="Calibri"/>
                <w:sz w:val="18"/>
              </w:rPr>
              <w:t>BR-086</w:t>
            </w:r>
          </w:p>
        </w:tc>
        <w:tc>
          <w:tcPr>
            <w:tcW w:type="dxa" w:w="2160"/>
          </w:tcPr>
          <w:p>
            <w:r>
              <w:rPr>
                <w:rFonts w:ascii="Calibri" w:hAnsi="Calibri"/>
                <w:sz w:val="18"/>
              </w:rPr>
              <w:t>Prevent tampering with audit records</w:t>
            </w:r>
          </w:p>
        </w:tc>
        <w:tc>
          <w:tcPr>
            <w:tcW w:type="dxa" w:w="2160"/>
          </w:tcPr>
          <w:p>
            <w:r>
              <w:rPr>
                <w:rFonts w:ascii="Calibri" w:hAnsi="Calibri"/>
                <w:sz w:val="18"/>
              </w:rPr>
              <w:t>Must</w:t>
            </w:r>
          </w:p>
        </w:tc>
        <w:tc>
          <w:tcPr>
            <w:tcW w:type="dxa" w:w="2160"/>
          </w:tcPr>
          <w:p>
            <w:r>
              <w:rPr>
                <w:rFonts w:ascii="Calibri" w:hAnsi="Calibri"/>
                <w:sz w:val="18"/>
              </w:rPr>
              <w:t>Append-only log with hash chain</w:t>
            </w:r>
          </w:p>
        </w:tc>
      </w:tr>
      <w:tr>
        <w:tc>
          <w:tcPr>
            <w:tcW w:type="dxa" w:w="2160"/>
            <w:shd w:fill="F2F2F2"/>
          </w:tcPr>
          <w:p>
            <w:r>
              <w:rPr>
                <w:rFonts w:ascii="Calibri" w:hAnsi="Calibri"/>
                <w:sz w:val="18"/>
              </w:rPr>
              <w:t>BR-087</w:t>
            </w:r>
          </w:p>
        </w:tc>
        <w:tc>
          <w:tcPr>
            <w:tcW w:type="dxa" w:w="2160"/>
            <w:shd w:fill="F2F2F2"/>
          </w:tcPr>
          <w:p>
            <w:r>
              <w:rPr>
                <w:rFonts w:ascii="Calibri" w:hAnsi="Calibri"/>
                <w:sz w:val="18"/>
              </w:rPr>
              <w:t>Support read-only audit access</w:t>
            </w:r>
          </w:p>
        </w:tc>
        <w:tc>
          <w:tcPr>
            <w:tcW w:type="dxa" w:w="2160"/>
            <w:shd w:fill="F2F2F2"/>
          </w:tcPr>
          <w:p>
            <w:r>
              <w:rPr>
                <w:rFonts w:ascii="Calibri" w:hAnsi="Calibri"/>
                <w:sz w:val="18"/>
              </w:rPr>
              <w:t>Must</w:t>
            </w:r>
          </w:p>
        </w:tc>
        <w:tc>
          <w:tcPr>
            <w:tcW w:type="dxa" w:w="2160"/>
            <w:shd w:fill="F2F2F2"/>
          </w:tcPr>
          <w:p>
            <w:r>
              <w:rPr>
                <w:rFonts w:ascii="Calibri" w:hAnsi="Calibri"/>
                <w:sz w:val="18"/>
              </w:rPr>
              <w:t>Read-only role has no write permissions</w:t>
            </w:r>
          </w:p>
        </w:tc>
      </w:tr>
      <w:tr>
        <w:tc>
          <w:tcPr>
            <w:tcW w:type="dxa" w:w="2160"/>
          </w:tcPr>
          <w:p>
            <w:r>
              <w:rPr>
                <w:rFonts w:ascii="Calibri" w:hAnsi="Calibri"/>
                <w:sz w:val="18"/>
              </w:rPr>
              <w:t>BR-088</w:t>
            </w:r>
          </w:p>
        </w:tc>
        <w:tc>
          <w:tcPr>
            <w:tcW w:type="dxa" w:w="2160"/>
          </w:tcPr>
          <w:p>
            <w:r>
              <w:rPr>
                <w:rFonts w:ascii="Calibri" w:hAnsi="Calibri"/>
                <w:sz w:val="18"/>
              </w:rPr>
              <w:t>Log all configuration changes</w:t>
            </w:r>
          </w:p>
        </w:tc>
        <w:tc>
          <w:tcPr>
            <w:tcW w:type="dxa" w:w="2160"/>
          </w:tcPr>
          <w:p>
            <w:r>
              <w:rPr>
                <w:rFonts w:ascii="Calibri" w:hAnsi="Calibri"/>
                <w:sz w:val="18"/>
              </w:rPr>
              <w:t>Must</w:t>
            </w:r>
          </w:p>
        </w:tc>
        <w:tc>
          <w:tcPr>
            <w:tcW w:type="dxa" w:w="2160"/>
          </w:tcPr>
          <w:p>
            <w:r>
              <w:rPr>
                <w:rFonts w:ascii="Calibri" w:hAnsi="Calibri"/>
                <w:sz w:val="18"/>
              </w:rPr>
              <w:t>Config log includes old, new, user, timestamp</w:t>
            </w:r>
          </w:p>
        </w:tc>
      </w:tr>
      <w:tr>
        <w:tc>
          <w:tcPr>
            <w:tcW w:type="dxa" w:w="2160"/>
            <w:shd w:fill="F2F2F2"/>
          </w:tcPr>
          <w:p>
            <w:r>
              <w:rPr>
                <w:rFonts w:ascii="Calibri" w:hAnsi="Calibri"/>
                <w:sz w:val="18"/>
              </w:rPr>
              <w:t>BR-089</w:t>
            </w:r>
          </w:p>
        </w:tc>
        <w:tc>
          <w:tcPr>
            <w:tcW w:type="dxa" w:w="2160"/>
            <w:shd w:fill="F2F2F2"/>
          </w:tcPr>
          <w:p>
            <w:r>
              <w:rPr>
                <w:rFonts w:ascii="Calibri" w:hAnsi="Calibri"/>
                <w:sz w:val="18"/>
              </w:rPr>
              <w:t>Log all threshold changes</w:t>
            </w:r>
          </w:p>
        </w:tc>
        <w:tc>
          <w:tcPr>
            <w:tcW w:type="dxa" w:w="2160"/>
            <w:shd w:fill="F2F2F2"/>
          </w:tcPr>
          <w:p>
            <w:r>
              <w:rPr>
                <w:rFonts w:ascii="Calibri" w:hAnsi="Calibri"/>
                <w:sz w:val="18"/>
              </w:rPr>
              <w:t>Must</w:t>
            </w:r>
          </w:p>
        </w:tc>
        <w:tc>
          <w:tcPr>
            <w:tcW w:type="dxa" w:w="2160"/>
            <w:shd w:fill="F2F2F2"/>
          </w:tcPr>
          <w:p>
            <w:r>
              <w:rPr>
                <w:rFonts w:ascii="Calibri" w:hAnsi="Calibri"/>
                <w:sz w:val="18"/>
              </w:rPr>
              <w:t>Threshold log includes before, after, user, timestamp</w:t>
            </w:r>
          </w:p>
        </w:tc>
      </w:tr>
      <w:tr>
        <w:tc>
          <w:tcPr>
            <w:tcW w:type="dxa" w:w="2160"/>
          </w:tcPr>
          <w:p>
            <w:r>
              <w:rPr>
                <w:rFonts w:ascii="Calibri" w:hAnsi="Calibri"/>
                <w:sz w:val="18"/>
              </w:rPr>
              <w:t>BR-090</w:t>
            </w:r>
          </w:p>
        </w:tc>
        <w:tc>
          <w:tcPr>
            <w:tcW w:type="dxa" w:w="2160"/>
          </w:tcPr>
          <w:p>
            <w:r>
              <w:rPr>
                <w:rFonts w:ascii="Calibri" w:hAnsi="Calibri"/>
                <w:sz w:val="18"/>
              </w:rPr>
              <w:t>Support export of audit data in standard formats</w:t>
            </w:r>
          </w:p>
        </w:tc>
        <w:tc>
          <w:tcPr>
            <w:tcW w:type="dxa" w:w="2160"/>
          </w:tcPr>
          <w:p>
            <w:r>
              <w:rPr>
                <w:rFonts w:ascii="Calibri" w:hAnsi="Calibri"/>
                <w:sz w:val="18"/>
              </w:rPr>
              <w:t>Should</w:t>
            </w:r>
          </w:p>
        </w:tc>
        <w:tc>
          <w:tcPr>
            <w:tcW w:type="dxa" w:w="2160"/>
          </w:tcPr>
          <w:p>
            <w:r>
              <w:rPr>
                <w:rFonts w:ascii="Calibri" w:hAnsi="Calibri"/>
                <w:sz w:val="18"/>
              </w:rPr>
              <w:t>Export in CSV and PDF</w:t>
            </w:r>
          </w:p>
        </w:tc>
      </w:tr>
      <w:tr>
        <w:tc>
          <w:tcPr>
            <w:tcW w:type="dxa" w:w="2160"/>
            <w:shd w:fill="F2F2F2"/>
          </w:tcPr>
          <w:p>
            <w:r>
              <w:rPr>
                <w:rFonts w:ascii="Calibri" w:hAnsi="Calibri"/>
                <w:sz w:val="18"/>
              </w:rPr>
              <w:t>BR-091</w:t>
            </w:r>
          </w:p>
        </w:tc>
        <w:tc>
          <w:tcPr>
            <w:tcW w:type="dxa" w:w="2160"/>
            <w:shd w:fill="F2F2F2"/>
          </w:tcPr>
          <w:p>
            <w:r>
              <w:rPr>
                <w:rFonts w:ascii="Calibri" w:hAnsi="Calibri"/>
                <w:sz w:val="18"/>
              </w:rPr>
              <w:t>Handle data subject access requests</w:t>
            </w:r>
          </w:p>
        </w:tc>
        <w:tc>
          <w:tcPr>
            <w:tcW w:type="dxa" w:w="2160"/>
            <w:shd w:fill="F2F2F2"/>
          </w:tcPr>
          <w:p>
            <w:r>
              <w:rPr>
                <w:rFonts w:ascii="Calibri" w:hAnsi="Calibri"/>
                <w:sz w:val="18"/>
              </w:rPr>
              <w:t>Should</w:t>
            </w:r>
          </w:p>
        </w:tc>
        <w:tc>
          <w:tcPr>
            <w:tcW w:type="dxa" w:w="2160"/>
            <w:shd w:fill="F2F2F2"/>
          </w:tcPr>
          <w:p>
            <w:r>
              <w:rPr>
                <w:rFonts w:ascii="Calibri" w:hAnsi="Calibri"/>
                <w:sz w:val="18"/>
              </w:rPr>
              <w:t>DSAR export within 30 days</w:t>
            </w:r>
          </w:p>
        </w:tc>
      </w:tr>
    </w:tbl>
    <w:p/>
    <w:p>
      <w:pPr>
        <w:pStyle w:val="Heading2"/>
      </w:pPr>
      <w:r>
        <w:t>4.9 Migration and Transition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BR-092</w:t>
            </w:r>
          </w:p>
        </w:tc>
        <w:tc>
          <w:tcPr>
            <w:tcW w:type="dxa" w:w="2160"/>
          </w:tcPr>
          <w:p>
            <w:r>
              <w:rPr>
                <w:rFonts w:ascii="Calibri" w:hAnsi="Calibri"/>
                <w:sz w:val="18"/>
              </w:rPr>
              <w:t>Run in shadow mode alongside existing engine</w:t>
            </w:r>
          </w:p>
        </w:tc>
        <w:tc>
          <w:tcPr>
            <w:tcW w:type="dxa" w:w="2160"/>
          </w:tcPr>
          <w:p>
            <w:r>
              <w:rPr>
                <w:rFonts w:ascii="Calibri" w:hAnsi="Calibri"/>
                <w:sz w:val="18"/>
              </w:rPr>
              <w:t>Must</w:t>
            </w:r>
          </w:p>
        </w:tc>
        <w:tc>
          <w:tcPr>
            <w:tcW w:type="dxa" w:w="2160"/>
          </w:tcPr>
          <w:p>
            <w:r>
              <w:rPr>
                <w:rFonts w:ascii="Calibri" w:hAnsi="Calibri"/>
                <w:sz w:val="18"/>
              </w:rPr>
              <w:t>Shadow predictions logged but not posted</w:t>
            </w:r>
          </w:p>
        </w:tc>
      </w:tr>
      <w:tr>
        <w:tc>
          <w:tcPr>
            <w:tcW w:type="dxa" w:w="2160"/>
            <w:shd w:fill="F2F2F2"/>
          </w:tcPr>
          <w:p>
            <w:r>
              <w:rPr>
                <w:rFonts w:ascii="Calibri" w:hAnsi="Calibri"/>
                <w:sz w:val="18"/>
              </w:rPr>
              <w:t>BR-093</w:t>
            </w:r>
          </w:p>
        </w:tc>
        <w:tc>
          <w:tcPr>
            <w:tcW w:type="dxa" w:w="2160"/>
            <w:shd w:fill="F2F2F2"/>
          </w:tcPr>
          <w:p>
            <w:r>
              <w:rPr>
                <w:rFonts w:ascii="Calibri" w:hAnsi="Calibri"/>
                <w:sz w:val="18"/>
              </w:rPr>
              <w:t>Compare predictions against actual posted outcomes</w:t>
            </w:r>
          </w:p>
        </w:tc>
        <w:tc>
          <w:tcPr>
            <w:tcW w:type="dxa" w:w="2160"/>
            <w:shd w:fill="F2F2F2"/>
          </w:tcPr>
          <w:p>
            <w:r>
              <w:rPr>
                <w:rFonts w:ascii="Calibri" w:hAnsi="Calibri"/>
                <w:sz w:val="18"/>
              </w:rPr>
              <w:t>Must</w:t>
            </w:r>
          </w:p>
        </w:tc>
        <w:tc>
          <w:tcPr>
            <w:tcW w:type="dxa" w:w="2160"/>
            <w:shd w:fill="F2F2F2"/>
          </w:tcPr>
          <w:p>
            <w:r>
              <w:rPr>
                <w:rFonts w:ascii="Calibri" w:hAnsi="Calibri"/>
                <w:sz w:val="18"/>
              </w:rPr>
              <w:t>Agreement rate calculated daily</w:t>
            </w:r>
          </w:p>
        </w:tc>
      </w:tr>
      <w:tr>
        <w:tc>
          <w:tcPr>
            <w:tcW w:type="dxa" w:w="2160"/>
          </w:tcPr>
          <w:p>
            <w:r>
              <w:rPr>
                <w:rFonts w:ascii="Calibri" w:hAnsi="Calibri"/>
                <w:sz w:val="18"/>
              </w:rPr>
              <w:t>BR-094</w:t>
            </w:r>
          </w:p>
        </w:tc>
        <w:tc>
          <w:tcPr>
            <w:tcW w:type="dxa" w:w="2160"/>
          </w:tcPr>
          <w:p>
            <w:r>
              <w:rPr>
                <w:rFonts w:ascii="Calibri" w:hAnsi="Calibri"/>
                <w:sz w:val="18"/>
              </w:rPr>
              <w:t>Allow graduated migration by vendor category</w:t>
            </w:r>
          </w:p>
        </w:tc>
        <w:tc>
          <w:tcPr>
            <w:tcW w:type="dxa" w:w="2160"/>
          </w:tcPr>
          <w:p>
            <w:r>
              <w:rPr>
                <w:rFonts w:ascii="Calibri" w:hAnsi="Calibri"/>
                <w:sz w:val="18"/>
              </w:rPr>
              <w:t>Must</w:t>
            </w:r>
          </w:p>
        </w:tc>
        <w:tc>
          <w:tcPr>
            <w:tcW w:type="dxa" w:w="2160"/>
          </w:tcPr>
          <w:p>
            <w:r>
              <w:rPr>
                <w:rFonts w:ascii="Calibri" w:hAnsi="Calibri"/>
                <w:sz w:val="18"/>
              </w:rPr>
              <w:t>Migration configurable per vendor category</w:t>
            </w:r>
          </w:p>
        </w:tc>
      </w:tr>
      <w:tr>
        <w:tc>
          <w:tcPr>
            <w:tcW w:type="dxa" w:w="2160"/>
            <w:shd w:fill="F2F2F2"/>
          </w:tcPr>
          <w:p>
            <w:r>
              <w:rPr>
                <w:rFonts w:ascii="Calibri" w:hAnsi="Calibri"/>
                <w:sz w:val="18"/>
              </w:rPr>
              <w:t>BR-095</w:t>
            </w:r>
          </w:p>
        </w:tc>
        <w:tc>
          <w:tcPr>
            <w:tcW w:type="dxa" w:w="2160"/>
            <w:shd w:fill="F2F2F2"/>
          </w:tcPr>
          <w:p>
            <w:r>
              <w:rPr>
                <w:rFonts w:ascii="Calibri" w:hAnsi="Calibri"/>
                <w:sz w:val="18"/>
              </w:rPr>
              <w:t>Allow graduated migration by value band</w:t>
            </w:r>
          </w:p>
        </w:tc>
        <w:tc>
          <w:tcPr>
            <w:tcW w:type="dxa" w:w="2160"/>
            <w:shd w:fill="F2F2F2"/>
          </w:tcPr>
          <w:p>
            <w:r>
              <w:rPr>
                <w:rFonts w:ascii="Calibri" w:hAnsi="Calibri"/>
                <w:sz w:val="18"/>
              </w:rPr>
              <w:t>Must</w:t>
            </w:r>
          </w:p>
        </w:tc>
        <w:tc>
          <w:tcPr>
            <w:tcW w:type="dxa" w:w="2160"/>
            <w:shd w:fill="F2F2F2"/>
          </w:tcPr>
          <w:p>
            <w:r>
              <w:rPr>
                <w:rFonts w:ascii="Calibri" w:hAnsi="Calibri"/>
                <w:sz w:val="18"/>
              </w:rPr>
              <w:t>Migration configurable per value band</w:t>
            </w:r>
          </w:p>
        </w:tc>
      </w:tr>
      <w:tr>
        <w:tc>
          <w:tcPr>
            <w:tcW w:type="dxa" w:w="2160"/>
          </w:tcPr>
          <w:p>
            <w:r>
              <w:rPr>
                <w:rFonts w:ascii="Calibri" w:hAnsi="Calibri"/>
                <w:sz w:val="18"/>
              </w:rPr>
              <w:t>BR-096</w:t>
            </w:r>
          </w:p>
        </w:tc>
        <w:tc>
          <w:tcPr>
            <w:tcW w:type="dxa" w:w="2160"/>
          </w:tcPr>
          <w:p>
            <w:r>
              <w:rPr>
                <w:rFonts w:ascii="Calibri" w:hAnsi="Calibri"/>
                <w:sz w:val="18"/>
              </w:rPr>
              <w:t>Allow graduated migration by legal entity</w:t>
            </w:r>
          </w:p>
        </w:tc>
        <w:tc>
          <w:tcPr>
            <w:tcW w:type="dxa" w:w="2160"/>
          </w:tcPr>
          <w:p>
            <w:r>
              <w:rPr>
                <w:rFonts w:ascii="Calibri" w:hAnsi="Calibri"/>
                <w:sz w:val="18"/>
              </w:rPr>
              <w:t>Should</w:t>
            </w:r>
          </w:p>
        </w:tc>
        <w:tc>
          <w:tcPr>
            <w:tcW w:type="dxa" w:w="2160"/>
          </w:tcPr>
          <w:p>
            <w:r>
              <w:rPr>
                <w:rFonts w:ascii="Calibri" w:hAnsi="Calibri"/>
                <w:sz w:val="18"/>
              </w:rPr>
              <w:t>Migration configurable per entity</w:t>
            </w:r>
          </w:p>
        </w:tc>
      </w:tr>
      <w:tr>
        <w:tc>
          <w:tcPr>
            <w:tcW w:type="dxa" w:w="2160"/>
            <w:shd w:fill="F2F2F2"/>
          </w:tcPr>
          <w:p>
            <w:r>
              <w:rPr>
                <w:rFonts w:ascii="Calibri" w:hAnsi="Calibri"/>
                <w:sz w:val="18"/>
              </w:rPr>
              <w:t>BR-097</w:t>
            </w:r>
          </w:p>
        </w:tc>
        <w:tc>
          <w:tcPr>
            <w:tcW w:type="dxa" w:w="2160"/>
            <w:shd w:fill="F2F2F2"/>
          </w:tcPr>
          <w:p>
            <w:r>
              <w:rPr>
                <w:rFonts w:ascii="Calibri" w:hAnsi="Calibri"/>
                <w:sz w:val="18"/>
              </w:rPr>
              <w:t>Support rollback to deterministic engine</w:t>
            </w:r>
          </w:p>
        </w:tc>
        <w:tc>
          <w:tcPr>
            <w:tcW w:type="dxa" w:w="2160"/>
            <w:shd w:fill="F2F2F2"/>
          </w:tcPr>
          <w:p>
            <w:r>
              <w:rPr>
                <w:rFonts w:ascii="Calibri" w:hAnsi="Calibri"/>
                <w:sz w:val="18"/>
              </w:rPr>
              <w:t>Must</w:t>
            </w:r>
          </w:p>
        </w:tc>
        <w:tc>
          <w:tcPr>
            <w:tcW w:type="dxa" w:w="2160"/>
            <w:shd w:fill="F2F2F2"/>
          </w:tcPr>
          <w:p>
            <w:r>
              <w:rPr>
                <w:rFonts w:ascii="Calibri" w:hAnsi="Calibri"/>
                <w:sz w:val="18"/>
              </w:rPr>
              <w:t>Rollback restores routing within 1 hour</w:t>
            </w:r>
          </w:p>
        </w:tc>
      </w:tr>
      <w:tr>
        <w:tc>
          <w:tcPr>
            <w:tcW w:type="dxa" w:w="2160"/>
          </w:tcPr>
          <w:p>
            <w:r>
              <w:rPr>
                <w:rFonts w:ascii="Calibri" w:hAnsi="Calibri"/>
                <w:sz w:val="18"/>
              </w:rPr>
              <w:t>BR-098</w:t>
            </w:r>
          </w:p>
        </w:tc>
        <w:tc>
          <w:tcPr>
            <w:tcW w:type="dxa" w:w="2160"/>
          </w:tcPr>
          <w:p>
            <w:r>
              <w:rPr>
                <w:rFonts w:ascii="Calibri" w:hAnsi="Calibri"/>
                <w:sz w:val="18"/>
              </w:rPr>
              <w:t>Export existing deterministic rules as seed data</w:t>
            </w:r>
          </w:p>
        </w:tc>
        <w:tc>
          <w:tcPr>
            <w:tcW w:type="dxa" w:w="2160"/>
          </w:tcPr>
          <w:p>
            <w:r>
              <w:rPr>
                <w:rFonts w:ascii="Calibri" w:hAnsi="Calibri"/>
                <w:sz w:val="18"/>
              </w:rPr>
              <w:t>Should</w:t>
            </w:r>
          </w:p>
        </w:tc>
        <w:tc>
          <w:tcPr>
            <w:tcW w:type="dxa" w:w="2160"/>
          </w:tcPr>
          <w:p>
            <w:r>
              <w:rPr>
                <w:rFonts w:ascii="Calibri" w:hAnsi="Calibri"/>
                <w:sz w:val="18"/>
              </w:rPr>
              <w:t>Export covers all active skills</w:t>
            </w:r>
          </w:p>
        </w:tc>
      </w:tr>
      <w:tr>
        <w:tc>
          <w:tcPr>
            <w:tcW w:type="dxa" w:w="2160"/>
            <w:shd w:fill="F2F2F2"/>
          </w:tcPr>
          <w:p>
            <w:r>
              <w:rPr>
                <w:rFonts w:ascii="Calibri" w:hAnsi="Calibri"/>
                <w:sz w:val="18"/>
              </w:rPr>
              <w:t>BR-099</w:t>
            </w:r>
          </w:p>
        </w:tc>
        <w:tc>
          <w:tcPr>
            <w:tcW w:type="dxa" w:w="2160"/>
            <w:shd w:fill="F2F2F2"/>
          </w:tcPr>
          <w:p>
            <w:r>
              <w:rPr>
                <w:rFonts w:ascii="Calibri" w:hAnsi="Calibri"/>
                <w:sz w:val="18"/>
              </w:rPr>
              <w:t>Tag seed data distinctly from learned data</w:t>
            </w:r>
          </w:p>
        </w:tc>
        <w:tc>
          <w:tcPr>
            <w:tcW w:type="dxa" w:w="2160"/>
            <w:shd w:fill="F2F2F2"/>
          </w:tcPr>
          <w:p>
            <w:r>
              <w:rPr>
                <w:rFonts w:ascii="Calibri" w:hAnsi="Calibri"/>
                <w:sz w:val="18"/>
              </w:rPr>
              <w:t>Should</w:t>
            </w:r>
          </w:p>
        </w:tc>
        <w:tc>
          <w:tcPr>
            <w:tcW w:type="dxa" w:w="2160"/>
            <w:shd w:fill="F2F2F2"/>
          </w:tcPr>
          <w:p>
            <w:r>
              <w:rPr>
                <w:rFonts w:ascii="Calibri" w:hAnsi="Calibri"/>
                <w:sz w:val="18"/>
              </w:rPr>
              <w:t>Seed data tagged separately</w:t>
            </w:r>
          </w:p>
        </w:tc>
      </w:tr>
      <w:tr>
        <w:tc>
          <w:tcPr>
            <w:tcW w:type="dxa" w:w="2160"/>
          </w:tcPr>
          <w:p>
            <w:r>
              <w:rPr>
                <w:rFonts w:ascii="Calibri" w:hAnsi="Calibri"/>
                <w:sz w:val="18"/>
              </w:rPr>
              <w:t>BR-100</w:t>
            </w:r>
          </w:p>
        </w:tc>
        <w:tc>
          <w:tcPr>
            <w:tcW w:type="dxa" w:w="2160"/>
          </w:tcPr>
          <w:p>
            <w:r>
              <w:rPr>
                <w:rFonts w:ascii="Calibri" w:hAnsi="Calibri"/>
                <w:sz w:val="18"/>
              </w:rPr>
              <w:t>Allow clients to remain on deterministic engine</w:t>
            </w:r>
          </w:p>
        </w:tc>
        <w:tc>
          <w:tcPr>
            <w:tcW w:type="dxa" w:w="2160"/>
          </w:tcPr>
          <w:p>
            <w:r>
              <w:rPr>
                <w:rFonts w:ascii="Calibri" w:hAnsi="Calibri"/>
                <w:sz w:val="18"/>
              </w:rPr>
              <w:t>Should</w:t>
            </w:r>
          </w:p>
        </w:tc>
        <w:tc>
          <w:tcPr>
            <w:tcW w:type="dxa" w:w="2160"/>
          </w:tcPr>
          <w:p>
            <w:r>
              <w:rPr>
                <w:rFonts w:ascii="Calibri" w:hAnsi="Calibri"/>
                <w:sz w:val="18"/>
              </w:rPr>
              <w:t>Deterministic engine remains available</w:t>
            </w:r>
          </w:p>
        </w:tc>
      </w:tr>
      <w:tr>
        <w:tc>
          <w:tcPr>
            <w:tcW w:type="dxa" w:w="2160"/>
            <w:shd w:fill="F2F2F2"/>
          </w:tcPr>
          <w:p>
            <w:r>
              <w:rPr>
                <w:rFonts w:ascii="Calibri" w:hAnsi="Calibri"/>
                <w:sz w:val="18"/>
              </w:rPr>
              <w:t>BR-101</w:t>
            </w:r>
          </w:p>
        </w:tc>
        <w:tc>
          <w:tcPr>
            <w:tcW w:type="dxa" w:w="2160"/>
            <w:shd w:fill="F2F2F2"/>
          </w:tcPr>
          <w:p>
            <w:r>
              <w:rPr>
                <w:rFonts w:ascii="Calibri" w:hAnsi="Calibri"/>
                <w:sz w:val="18"/>
              </w:rPr>
              <w:t>Support A-B testing</w:t>
            </w:r>
          </w:p>
        </w:tc>
        <w:tc>
          <w:tcPr>
            <w:tcW w:type="dxa" w:w="2160"/>
            <w:shd w:fill="F2F2F2"/>
          </w:tcPr>
          <w:p>
            <w:r>
              <w:rPr>
                <w:rFonts w:ascii="Calibri" w:hAnsi="Calibri"/>
                <w:sz w:val="18"/>
              </w:rPr>
              <w:t>Could</w:t>
            </w:r>
          </w:p>
        </w:tc>
        <w:tc>
          <w:tcPr>
            <w:tcW w:type="dxa" w:w="2160"/>
            <w:shd w:fill="F2F2F2"/>
          </w:tcPr>
          <w:p>
            <w:r>
              <w:rPr>
                <w:rFonts w:ascii="Calibri" w:hAnsi="Calibri"/>
                <w:sz w:val="18"/>
              </w:rPr>
              <w:t>Configurable percentage to new system</w:t>
            </w:r>
          </w:p>
        </w:tc>
      </w:tr>
      <w:tr>
        <w:tc>
          <w:tcPr>
            <w:tcW w:type="dxa" w:w="2160"/>
          </w:tcPr>
          <w:p>
            <w:r>
              <w:rPr>
                <w:rFonts w:ascii="Calibri" w:hAnsi="Calibri"/>
                <w:sz w:val="18"/>
              </w:rPr>
              <w:t>BR-102</w:t>
            </w:r>
          </w:p>
        </w:tc>
        <w:tc>
          <w:tcPr>
            <w:tcW w:type="dxa" w:w="2160"/>
          </w:tcPr>
          <w:p>
            <w:r>
              <w:rPr>
                <w:rFonts w:ascii="Calibri" w:hAnsi="Calibri"/>
                <w:sz w:val="18"/>
              </w:rPr>
              <w:t>Provide clear metrics to justify migration</w:t>
            </w:r>
          </w:p>
        </w:tc>
        <w:tc>
          <w:tcPr>
            <w:tcW w:type="dxa" w:w="2160"/>
          </w:tcPr>
          <w:p>
            <w:r>
              <w:rPr>
                <w:rFonts w:ascii="Calibri" w:hAnsi="Calibri"/>
                <w:sz w:val="18"/>
              </w:rPr>
              <w:t>Must</w:t>
            </w:r>
          </w:p>
        </w:tc>
        <w:tc>
          <w:tcPr>
            <w:tcW w:type="dxa" w:w="2160"/>
          </w:tcPr>
          <w:p>
            <w:r>
              <w:rPr>
                <w:rFonts w:ascii="Calibri" w:hAnsi="Calibri"/>
                <w:sz w:val="18"/>
              </w:rPr>
              <w:t>Accuracy comparison per segment</w:t>
            </w:r>
          </w:p>
        </w:tc>
      </w:tr>
    </w:tbl>
    <w:p/>
    <w:p>
      <w:pPr>
        <w:pStyle w:val="Heading2"/>
      </w:pPr>
      <w:r>
        <w:t>4.10 Reporting and Analytics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BR-103</w:t>
            </w:r>
          </w:p>
        </w:tc>
        <w:tc>
          <w:tcPr>
            <w:tcW w:type="dxa" w:w="2160"/>
          </w:tcPr>
          <w:p>
            <w:r>
              <w:rPr>
                <w:rFonts w:ascii="Calibri" w:hAnsi="Calibri"/>
                <w:sz w:val="18"/>
              </w:rPr>
              <w:t>Report automation rate by vendor and category</w:t>
            </w:r>
          </w:p>
        </w:tc>
        <w:tc>
          <w:tcPr>
            <w:tcW w:type="dxa" w:w="2160"/>
          </w:tcPr>
          <w:p>
            <w:r>
              <w:rPr>
                <w:rFonts w:ascii="Calibri" w:hAnsi="Calibri"/>
                <w:sz w:val="18"/>
              </w:rPr>
              <w:t>Should</w:t>
            </w:r>
          </w:p>
        </w:tc>
        <w:tc>
          <w:tcPr>
            <w:tcW w:type="dxa" w:w="2160"/>
          </w:tcPr>
          <w:p>
            <w:r>
              <w:rPr>
                <w:rFonts w:ascii="Calibri" w:hAnsi="Calibri"/>
                <w:sz w:val="18"/>
              </w:rPr>
              <w:t>Dashboard with drill-down</w:t>
            </w:r>
          </w:p>
        </w:tc>
      </w:tr>
      <w:tr>
        <w:tc>
          <w:tcPr>
            <w:tcW w:type="dxa" w:w="2160"/>
            <w:shd w:fill="F2F2F2"/>
          </w:tcPr>
          <w:p>
            <w:r>
              <w:rPr>
                <w:rFonts w:ascii="Calibri" w:hAnsi="Calibri"/>
                <w:sz w:val="18"/>
              </w:rPr>
              <w:t>BR-104</w:t>
            </w:r>
          </w:p>
        </w:tc>
        <w:tc>
          <w:tcPr>
            <w:tcW w:type="dxa" w:w="2160"/>
            <w:shd w:fill="F2F2F2"/>
          </w:tcPr>
          <w:p>
            <w:r>
              <w:rPr>
                <w:rFonts w:ascii="Calibri" w:hAnsi="Calibri"/>
                <w:sz w:val="18"/>
              </w:rPr>
              <w:t>Report correction rate by reviewer and vendor</w:t>
            </w:r>
          </w:p>
        </w:tc>
        <w:tc>
          <w:tcPr>
            <w:tcW w:type="dxa" w:w="2160"/>
            <w:shd w:fill="F2F2F2"/>
          </w:tcPr>
          <w:p>
            <w:r>
              <w:rPr>
                <w:rFonts w:ascii="Calibri" w:hAnsi="Calibri"/>
                <w:sz w:val="18"/>
              </w:rPr>
              <w:t>Should</w:t>
            </w:r>
          </w:p>
        </w:tc>
        <w:tc>
          <w:tcPr>
            <w:tcW w:type="dxa" w:w="2160"/>
            <w:shd w:fill="F2F2F2"/>
          </w:tcPr>
          <w:p>
            <w:r>
              <w:rPr>
                <w:rFonts w:ascii="Calibri" w:hAnsi="Calibri"/>
                <w:sz w:val="18"/>
              </w:rPr>
              <w:t>Heatmap by reviewer</w:t>
            </w:r>
          </w:p>
        </w:tc>
      </w:tr>
      <w:tr>
        <w:tc>
          <w:tcPr>
            <w:tcW w:type="dxa" w:w="2160"/>
          </w:tcPr>
          <w:p>
            <w:r>
              <w:rPr>
                <w:rFonts w:ascii="Calibri" w:hAnsi="Calibri"/>
                <w:sz w:val="18"/>
              </w:rPr>
              <w:t>BR-105</w:t>
            </w:r>
          </w:p>
        </w:tc>
        <w:tc>
          <w:tcPr>
            <w:tcW w:type="dxa" w:w="2160"/>
          </w:tcPr>
          <w:p>
            <w:r>
              <w:rPr>
                <w:rFonts w:ascii="Calibri" w:hAnsi="Calibri"/>
                <w:sz w:val="18"/>
              </w:rPr>
              <w:t>Report average review time and queue depth</w:t>
            </w:r>
          </w:p>
        </w:tc>
        <w:tc>
          <w:tcPr>
            <w:tcW w:type="dxa" w:w="2160"/>
          </w:tcPr>
          <w:p>
            <w:r>
              <w:rPr>
                <w:rFonts w:ascii="Calibri" w:hAnsi="Calibri"/>
                <w:sz w:val="18"/>
              </w:rPr>
              <w:t>Should</w:t>
            </w:r>
          </w:p>
        </w:tc>
        <w:tc>
          <w:tcPr>
            <w:tcW w:type="dxa" w:w="2160"/>
          </w:tcPr>
          <w:p>
            <w:r>
              <w:rPr>
                <w:rFonts w:ascii="Calibri" w:hAnsi="Calibri"/>
                <w:sz w:val="18"/>
              </w:rPr>
              <w:t>Real-time queue metrics</w:t>
            </w:r>
          </w:p>
        </w:tc>
      </w:tr>
      <w:tr>
        <w:tc>
          <w:tcPr>
            <w:tcW w:type="dxa" w:w="2160"/>
            <w:shd w:fill="F2F2F2"/>
          </w:tcPr>
          <w:p>
            <w:r>
              <w:rPr>
                <w:rFonts w:ascii="Calibri" w:hAnsi="Calibri"/>
                <w:sz w:val="18"/>
              </w:rPr>
              <w:t>BR-106</w:t>
            </w:r>
          </w:p>
        </w:tc>
        <w:tc>
          <w:tcPr>
            <w:tcW w:type="dxa" w:w="2160"/>
            <w:shd w:fill="F2F2F2"/>
          </w:tcPr>
          <w:p>
            <w:r>
              <w:rPr>
                <w:rFonts w:ascii="Calibri" w:hAnsi="Calibri"/>
                <w:sz w:val="18"/>
              </w:rPr>
              <w:t>Report confidence calibration accuracy</w:t>
            </w:r>
          </w:p>
        </w:tc>
        <w:tc>
          <w:tcPr>
            <w:tcW w:type="dxa" w:w="2160"/>
            <w:shd w:fill="F2F2F2"/>
          </w:tcPr>
          <w:p>
            <w:r>
              <w:rPr>
                <w:rFonts w:ascii="Calibri" w:hAnsi="Calibri"/>
                <w:sz w:val="18"/>
              </w:rPr>
              <w:t>Should</w:t>
            </w:r>
          </w:p>
        </w:tc>
        <w:tc>
          <w:tcPr>
            <w:tcW w:type="dxa" w:w="2160"/>
            <w:shd w:fill="F2F2F2"/>
          </w:tcPr>
          <w:p>
            <w:r>
              <w:rPr>
                <w:rFonts w:ascii="Calibri" w:hAnsi="Calibri"/>
                <w:sz w:val="18"/>
              </w:rPr>
              <w:t>Calibration plot predicted vs actual</w:t>
            </w:r>
          </w:p>
        </w:tc>
      </w:tr>
      <w:tr>
        <w:tc>
          <w:tcPr>
            <w:tcW w:type="dxa" w:w="2160"/>
          </w:tcPr>
          <w:p>
            <w:r>
              <w:rPr>
                <w:rFonts w:ascii="Calibri" w:hAnsi="Calibri"/>
                <w:sz w:val="18"/>
              </w:rPr>
              <w:t>BR-107</w:t>
            </w:r>
          </w:p>
        </w:tc>
        <w:tc>
          <w:tcPr>
            <w:tcW w:type="dxa" w:w="2160"/>
          </w:tcPr>
          <w:p>
            <w:r>
              <w:rPr>
                <w:rFonts w:ascii="Calibri" w:hAnsi="Calibri"/>
                <w:sz w:val="18"/>
              </w:rPr>
              <w:t>Alert when accuracy drops below thresholds</w:t>
            </w:r>
          </w:p>
        </w:tc>
        <w:tc>
          <w:tcPr>
            <w:tcW w:type="dxa" w:w="2160"/>
          </w:tcPr>
          <w:p>
            <w:r>
              <w:rPr>
                <w:rFonts w:ascii="Calibri" w:hAnsi="Calibri"/>
                <w:sz w:val="18"/>
              </w:rPr>
              <w:t>Should</w:t>
            </w:r>
          </w:p>
        </w:tc>
        <w:tc>
          <w:tcPr>
            <w:tcW w:type="dxa" w:w="2160"/>
          </w:tcPr>
          <w:p>
            <w:r>
              <w:rPr>
                <w:rFonts w:ascii="Calibri" w:hAnsi="Calibri"/>
                <w:sz w:val="18"/>
              </w:rPr>
              <w:t>Alert when 7-day accuracy below 85%</w:t>
            </w:r>
          </w:p>
        </w:tc>
      </w:tr>
      <w:tr>
        <w:tc>
          <w:tcPr>
            <w:tcW w:type="dxa" w:w="2160"/>
            <w:shd w:fill="F2F2F2"/>
          </w:tcPr>
          <w:p>
            <w:r>
              <w:rPr>
                <w:rFonts w:ascii="Calibri" w:hAnsi="Calibri"/>
                <w:sz w:val="18"/>
              </w:rPr>
              <w:t>BR-108</w:t>
            </w:r>
          </w:p>
        </w:tc>
        <w:tc>
          <w:tcPr>
            <w:tcW w:type="dxa" w:w="2160"/>
            <w:shd w:fill="F2F2F2"/>
          </w:tcPr>
          <w:p>
            <w:r>
              <w:rPr>
                <w:rFonts w:ascii="Calibri" w:hAnsi="Calibri"/>
                <w:sz w:val="18"/>
              </w:rPr>
              <w:t>Report drift events and resolution</w:t>
            </w:r>
          </w:p>
        </w:tc>
        <w:tc>
          <w:tcPr>
            <w:tcW w:type="dxa" w:w="2160"/>
            <w:shd w:fill="F2F2F2"/>
          </w:tcPr>
          <w:p>
            <w:r>
              <w:rPr>
                <w:rFonts w:ascii="Calibri" w:hAnsi="Calibri"/>
                <w:sz w:val="18"/>
              </w:rPr>
              <w:t>Should</w:t>
            </w:r>
          </w:p>
        </w:tc>
        <w:tc>
          <w:tcPr>
            <w:tcW w:type="dxa" w:w="2160"/>
            <w:shd w:fill="F2F2F2"/>
          </w:tcPr>
          <w:p>
            <w:r>
              <w:rPr>
                <w:rFonts w:ascii="Calibri" w:hAnsi="Calibri"/>
                <w:sz w:val="18"/>
              </w:rPr>
              <w:t>Drift log with vendor and resolution</w:t>
            </w:r>
          </w:p>
        </w:tc>
      </w:tr>
      <w:tr>
        <w:tc>
          <w:tcPr>
            <w:tcW w:type="dxa" w:w="2160"/>
          </w:tcPr>
          <w:p>
            <w:r>
              <w:rPr>
                <w:rFonts w:ascii="Calibri" w:hAnsi="Calibri"/>
                <w:sz w:val="18"/>
              </w:rPr>
              <w:t>BR-109</w:t>
            </w:r>
          </w:p>
        </w:tc>
        <w:tc>
          <w:tcPr>
            <w:tcW w:type="dxa" w:w="2160"/>
          </w:tcPr>
          <w:p>
            <w:r>
              <w:rPr>
                <w:rFonts w:ascii="Calibri" w:hAnsi="Calibri"/>
                <w:sz w:val="18"/>
              </w:rPr>
              <w:t>Produce compliance reports for external auditors</w:t>
            </w:r>
          </w:p>
        </w:tc>
        <w:tc>
          <w:tcPr>
            <w:tcW w:type="dxa" w:w="2160"/>
          </w:tcPr>
          <w:p>
            <w:r>
              <w:rPr>
                <w:rFonts w:ascii="Calibri" w:hAnsi="Calibri"/>
                <w:sz w:val="18"/>
              </w:rPr>
              <w:t>Must</w:t>
            </w:r>
          </w:p>
        </w:tc>
        <w:tc>
          <w:tcPr>
            <w:tcW w:type="dxa" w:w="2160"/>
          </w:tcPr>
          <w:p>
            <w:r>
              <w:rPr>
                <w:rFonts w:ascii="Calibri" w:hAnsi="Calibri"/>
                <w:sz w:val="18"/>
              </w:rPr>
              <w:t>Compliance report on demand</w:t>
            </w:r>
          </w:p>
        </w:tc>
      </w:tr>
      <w:tr>
        <w:tc>
          <w:tcPr>
            <w:tcW w:type="dxa" w:w="2160"/>
            <w:shd w:fill="F2F2F2"/>
          </w:tcPr>
          <w:p>
            <w:r>
              <w:rPr>
                <w:rFonts w:ascii="Calibri" w:hAnsi="Calibri"/>
                <w:sz w:val="18"/>
              </w:rPr>
              <w:t>BR-110</w:t>
            </w:r>
          </w:p>
        </w:tc>
        <w:tc>
          <w:tcPr>
            <w:tcW w:type="dxa" w:w="2160"/>
            <w:shd w:fill="F2F2F2"/>
          </w:tcPr>
          <w:p>
            <w:r>
              <w:rPr>
                <w:rFonts w:ascii="Calibri" w:hAnsi="Calibri"/>
                <w:sz w:val="18"/>
              </w:rPr>
              <w:t>Support scheduled and ad-hoc report generation</w:t>
            </w:r>
          </w:p>
        </w:tc>
        <w:tc>
          <w:tcPr>
            <w:tcW w:type="dxa" w:w="2160"/>
            <w:shd w:fill="F2F2F2"/>
          </w:tcPr>
          <w:p>
            <w:r>
              <w:rPr>
                <w:rFonts w:ascii="Calibri" w:hAnsi="Calibri"/>
                <w:sz w:val="18"/>
              </w:rPr>
              <w:t>Should</w:t>
            </w:r>
          </w:p>
        </w:tc>
        <w:tc>
          <w:tcPr>
            <w:tcW w:type="dxa" w:w="2160"/>
            <w:shd w:fill="F2F2F2"/>
          </w:tcPr>
          <w:p>
            <w:r>
              <w:rPr>
                <w:rFonts w:ascii="Calibri" w:hAnsi="Calibri"/>
                <w:sz w:val="18"/>
              </w:rPr>
              <w:t>Daily, weekly, monthly schedules</w:t>
            </w:r>
          </w:p>
        </w:tc>
      </w:tr>
      <w:tr>
        <w:tc>
          <w:tcPr>
            <w:tcW w:type="dxa" w:w="2160"/>
          </w:tcPr>
          <w:p>
            <w:r>
              <w:rPr>
                <w:rFonts w:ascii="Calibri" w:hAnsi="Calibri"/>
                <w:sz w:val="18"/>
              </w:rPr>
              <w:t>BR-111</w:t>
            </w:r>
          </w:p>
        </w:tc>
        <w:tc>
          <w:tcPr>
            <w:tcW w:type="dxa" w:w="2160"/>
          </w:tcPr>
          <w:p>
            <w:r>
              <w:rPr>
                <w:rFonts w:ascii="Calibri" w:hAnsi="Calibri"/>
                <w:sz w:val="18"/>
              </w:rPr>
              <w:t>Provide executive dashboards</w:t>
            </w:r>
          </w:p>
        </w:tc>
        <w:tc>
          <w:tcPr>
            <w:tcW w:type="dxa" w:w="2160"/>
          </w:tcPr>
          <w:p>
            <w:r>
              <w:rPr>
                <w:rFonts w:ascii="Calibri" w:hAnsi="Calibri"/>
                <w:sz w:val="18"/>
              </w:rPr>
              <w:t>Should</w:t>
            </w:r>
          </w:p>
        </w:tc>
        <w:tc>
          <w:tcPr>
            <w:tcW w:type="dxa" w:w="2160"/>
          </w:tcPr>
          <w:p>
            <w:r>
              <w:rPr>
                <w:rFonts w:ascii="Calibri" w:hAnsi="Calibri"/>
                <w:sz w:val="18"/>
              </w:rPr>
              <w:t>Shows automation, savings, accuracy</w:t>
            </w:r>
          </w:p>
        </w:tc>
      </w:tr>
      <w:tr>
        <w:tc>
          <w:tcPr>
            <w:tcW w:type="dxa" w:w="2160"/>
            <w:shd w:fill="F2F2F2"/>
          </w:tcPr>
          <w:p>
            <w:r>
              <w:rPr>
                <w:rFonts w:ascii="Calibri" w:hAnsi="Calibri"/>
                <w:sz w:val="18"/>
              </w:rPr>
              <w:t>BR-112</w:t>
            </w:r>
          </w:p>
        </w:tc>
        <w:tc>
          <w:tcPr>
            <w:tcW w:type="dxa" w:w="2160"/>
            <w:shd w:fill="F2F2F2"/>
          </w:tcPr>
          <w:p>
            <w:r>
              <w:rPr>
                <w:rFonts w:ascii="Calibri" w:hAnsi="Calibri"/>
                <w:sz w:val="18"/>
              </w:rPr>
              <w:t>Track professional services hours saved</w:t>
            </w:r>
          </w:p>
        </w:tc>
        <w:tc>
          <w:tcPr>
            <w:tcW w:type="dxa" w:w="2160"/>
            <w:shd w:fill="F2F2F2"/>
          </w:tcPr>
          <w:p>
            <w:r>
              <w:rPr>
                <w:rFonts w:ascii="Calibri" w:hAnsi="Calibri"/>
                <w:sz w:val="18"/>
              </w:rPr>
              <w:t>Should</w:t>
            </w:r>
          </w:p>
        </w:tc>
        <w:tc>
          <w:tcPr>
            <w:tcW w:type="dxa" w:w="2160"/>
            <w:shd w:fill="F2F2F2"/>
          </w:tcPr>
          <w:p>
            <w:r>
              <w:rPr>
                <w:rFonts w:ascii="Calibri" w:hAnsi="Calibri"/>
                <w:sz w:val="18"/>
              </w:rPr>
              <w:t>Hours estimated from automation lift</w:t>
            </w:r>
          </w:p>
        </w:tc>
      </w:tr>
      <w:tr>
        <w:tc>
          <w:tcPr>
            <w:tcW w:type="dxa" w:w="2160"/>
          </w:tcPr>
          <w:p>
            <w:r>
              <w:rPr>
                <w:rFonts w:ascii="Calibri" w:hAnsi="Calibri"/>
                <w:sz w:val="18"/>
              </w:rPr>
              <w:t>BR-113</w:t>
            </w:r>
          </w:p>
        </w:tc>
        <w:tc>
          <w:tcPr>
            <w:tcW w:type="dxa" w:w="2160"/>
          </w:tcPr>
          <w:p>
            <w:r>
              <w:rPr>
                <w:rFonts w:ascii="Calibri" w:hAnsi="Calibri"/>
                <w:sz w:val="18"/>
              </w:rPr>
              <w:t>Track time to value for new vendors</w:t>
            </w:r>
          </w:p>
        </w:tc>
        <w:tc>
          <w:tcPr>
            <w:tcW w:type="dxa" w:w="2160"/>
          </w:tcPr>
          <w:p>
            <w:r>
              <w:rPr>
                <w:rFonts w:ascii="Calibri" w:hAnsi="Calibri"/>
                <w:sz w:val="18"/>
              </w:rPr>
              <w:t>Should</w:t>
            </w:r>
          </w:p>
        </w:tc>
        <w:tc>
          <w:tcPr>
            <w:tcW w:type="dxa" w:w="2160"/>
          </w:tcPr>
          <w:p>
            <w:r>
              <w:rPr>
                <w:rFonts w:ascii="Calibri" w:hAnsi="Calibri"/>
                <w:sz w:val="18"/>
              </w:rPr>
              <w:t>Onboarding time from first to auto-post</w:t>
            </w:r>
          </w:p>
        </w:tc>
      </w:tr>
    </w:tbl>
    <w:p/>
    <w:p>
      <w:pPr>
        <w:pStyle w:val="Heading2"/>
      </w:pPr>
      <w:r>
        <w:t>4.11 Governance and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BR-114</w:t>
            </w:r>
          </w:p>
        </w:tc>
        <w:tc>
          <w:tcPr>
            <w:tcW w:type="dxa" w:w="2160"/>
          </w:tcPr>
          <w:p>
            <w:r>
              <w:rPr>
                <w:rFonts w:ascii="Calibri" w:hAnsi="Calibri"/>
                <w:sz w:val="18"/>
              </w:rPr>
              <w:t>Allow configurable auto-post thresholds per tenant</w:t>
            </w:r>
          </w:p>
        </w:tc>
        <w:tc>
          <w:tcPr>
            <w:tcW w:type="dxa" w:w="2160"/>
          </w:tcPr>
          <w:p>
            <w:r>
              <w:rPr>
                <w:rFonts w:ascii="Calibri" w:hAnsi="Calibri"/>
                <w:sz w:val="18"/>
              </w:rPr>
              <w:t>Must</w:t>
            </w:r>
          </w:p>
        </w:tc>
        <w:tc>
          <w:tcPr>
            <w:tcW w:type="dxa" w:w="2160"/>
          </w:tcPr>
          <w:p>
            <w:r>
              <w:rPr>
                <w:rFonts w:ascii="Calibri" w:hAnsi="Calibri"/>
                <w:sz w:val="18"/>
              </w:rPr>
              <w:t>Threshold configurable per tenant</w:t>
            </w:r>
          </w:p>
        </w:tc>
      </w:tr>
      <w:tr>
        <w:tc>
          <w:tcPr>
            <w:tcW w:type="dxa" w:w="2160"/>
            <w:shd w:fill="F2F2F2"/>
          </w:tcPr>
          <w:p>
            <w:r>
              <w:rPr>
                <w:rFonts w:ascii="Calibri" w:hAnsi="Calibri"/>
                <w:sz w:val="18"/>
              </w:rPr>
              <w:t>BR-115</w:t>
            </w:r>
          </w:p>
        </w:tc>
        <w:tc>
          <w:tcPr>
            <w:tcW w:type="dxa" w:w="2160"/>
            <w:shd w:fill="F2F2F2"/>
          </w:tcPr>
          <w:p>
            <w:r>
              <w:rPr>
                <w:rFonts w:ascii="Calibri" w:hAnsi="Calibri"/>
                <w:sz w:val="18"/>
              </w:rPr>
              <w:t>Allow configurable thresholds per vendor category</w:t>
            </w:r>
          </w:p>
        </w:tc>
        <w:tc>
          <w:tcPr>
            <w:tcW w:type="dxa" w:w="2160"/>
            <w:shd w:fill="F2F2F2"/>
          </w:tcPr>
          <w:p>
            <w:r>
              <w:rPr>
                <w:rFonts w:ascii="Calibri" w:hAnsi="Calibri"/>
                <w:sz w:val="18"/>
              </w:rPr>
              <w:t>Should</w:t>
            </w:r>
          </w:p>
        </w:tc>
        <w:tc>
          <w:tcPr>
            <w:tcW w:type="dxa" w:w="2160"/>
            <w:shd w:fill="F2F2F2"/>
          </w:tcPr>
          <w:p>
            <w:r>
              <w:rPr>
                <w:rFonts w:ascii="Calibri" w:hAnsi="Calibri"/>
                <w:sz w:val="18"/>
              </w:rPr>
              <w:t>Threshold configurable per vendor category</w:t>
            </w:r>
          </w:p>
        </w:tc>
      </w:tr>
      <w:tr>
        <w:tc>
          <w:tcPr>
            <w:tcW w:type="dxa" w:w="2160"/>
          </w:tcPr>
          <w:p>
            <w:r>
              <w:rPr>
                <w:rFonts w:ascii="Calibri" w:hAnsi="Calibri"/>
                <w:sz w:val="18"/>
              </w:rPr>
              <w:t>BR-116</w:t>
            </w:r>
          </w:p>
        </w:tc>
        <w:tc>
          <w:tcPr>
            <w:tcW w:type="dxa" w:w="2160"/>
          </w:tcPr>
          <w:p>
            <w:r>
              <w:rPr>
                <w:rFonts w:ascii="Calibri" w:hAnsi="Calibri"/>
                <w:sz w:val="18"/>
              </w:rPr>
              <w:t>Allow configurable thresholds per value band</w:t>
            </w:r>
          </w:p>
        </w:tc>
        <w:tc>
          <w:tcPr>
            <w:tcW w:type="dxa" w:w="2160"/>
          </w:tcPr>
          <w:p>
            <w:r>
              <w:rPr>
                <w:rFonts w:ascii="Calibri" w:hAnsi="Calibri"/>
                <w:sz w:val="18"/>
              </w:rPr>
              <w:t>Should</w:t>
            </w:r>
          </w:p>
        </w:tc>
        <w:tc>
          <w:tcPr>
            <w:tcW w:type="dxa" w:w="2160"/>
          </w:tcPr>
          <w:p>
            <w:r>
              <w:rPr>
                <w:rFonts w:ascii="Calibri" w:hAnsi="Calibri"/>
                <w:sz w:val="18"/>
              </w:rPr>
              <w:t>Threshold configurable per value band</w:t>
            </w:r>
          </w:p>
        </w:tc>
      </w:tr>
      <w:tr>
        <w:tc>
          <w:tcPr>
            <w:tcW w:type="dxa" w:w="2160"/>
            <w:shd w:fill="F2F2F2"/>
          </w:tcPr>
          <w:p>
            <w:r>
              <w:rPr>
                <w:rFonts w:ascii="Calibri" w:hAnsi="Calibri"/>
                <w:sz w:val="18"/>
              </w:rPr>
              <w:t>BR-117</w:t>
            </w:r>
          </w:p>
        </w:tc>
        <w:tc>
          <w:tcPr>
            <w:tcW w:type="dxa" w:w="2160"/>
            <w:shd w:fill="F2F2F2"/>
          </w:tcPr>
          <w:p>
            <w:r>
              <w:rPr>
                <w:rFonts w:ascii="Calibri" w:hAnsi="Calibri"/>
                <w:sz w:val="18"/>
              </w:rPr>
              <w:t>Require approval for threshold changes</w:t>
            </w:r>
          </w:p>
        </w:tc>
        <w:tc>
          <w:tcPr>
            <w:tcW w:type="dxa" w:w="2160"/>
            <w:shd w:fill="F2F2F2"/>
          </w:tcPr>
          <w:p>
            <w:r>
              <w:rPr>
                <w:rFonts w:ascii="Calibri" w:hAnsi="Calibri"/>
                <w:sz w:val="18"/>
              </w:rPr>
              <w:t>Must</w:t>
            </w:r>
          </w:p>
        </w:tc>
        <w:tc>
          <w:tcPr>
            <w:tcW w:type="dxa" w:w="2160"/>
            <w:shd w:fill="F2F2F2"/>
          </w:tcPr>
          <w:p>
            <w:r>
              <w:rPr>
                <w:rFonts w:ascii="Calibri" w:hAnsi="Calibri"/>
                <w:sz w:val="18"/>
              </w:rPr>
              <w:t>Threshold changes require manager approval</w:t>
            </w:r>
          </w:p>
        </w:tc>
      </w:tr>
      <w:tr>
        <w:tc>
          <w:tcPr>
            <w:tcW w:type="dxa" w:w="2160"/>
          </w:tcPr>
          <w:p>
            <w:r>
              <w:rPr>
                <w:rFonts w:ascii="Calibri" w:hAnsi="Calibri"/>
                <w:sz w:val="18"/>
              </w:rPr>
              <w:t>BR-118</w:t>
            </w:r>
          </w:p>
        </w:tc>
        <w:tc>
          <w:tcPr>
            <w:tcW w:type="dxa" w:w="2160"/>
          </w:tcPr>
          <w:p>
            <w:r>
              <w:rPr>
                <w:rFonts w:ascii="Calibri" w:hAnsi="Calibri"/>
                <w:sz w:val="18"/>
              </w:rPr>
              <w:t>Log all threshold changes with before and after values</w:t>
            </w:r>
          </w:p>
        </w:tc>
        <w:tc>
          <w:tcPr>
            <w:tcW w:type="dxa" w:w="2160"/>
          </w:tcPr>
          <w:p>
            <w:r>
              <w:rPr>
                <w:rFonts w:ascii="Calibri" w:hAnsi="Calibri"/>
                <w:sz w:val="18"/>
              </w:rPr>
              <w:t>Must</w:t>
            </w:r>
          </w:p>
        </w:tc>
        <w:tc>
          <w:tcPr>
            <w:tcW w:type="dxa" w:w="2160"/>
          </w:tcPr>
          <w:p>
            <w:r>
              <w:rPr>
                <w:rFonts w:ascii="Calibri" w:hAnsi="Calibri"/>
                <w:sz w:val="18"/>
              </w:rPr>
              <w:t>Change log is immutable</w:t>
            </w:r>
          </w:p>
        </w:tc>
      </w:tr>
      <w:tr>
        <w:tc>
          <w:tcPr>
            <w:tcW w:type="dxa" w:w="2160"/>
            <w:shd w:fill="F2F2F2"/>
          </w:tcPr>
          <w:p>
            <w:r>
              <w:rPr>
                <w:rFonts w:ascii="Calibri" w:hAnsi="Calibri"/>
                <w:sz w:val="18"/>
              </w:rPr>
              <w:t>BR-119</w:t>
            </w:r>
          </w:p>
        </w:tc>
        <w:tc>
          <w:tcPr>
            <w:tcW w:type="dxa" w:w="2160"/>
            <w:shd w:fill="F2F2F2"/>
          </w:tcPr>
          <w:p>
            <w:r>
              <w:rPr>
                <w:rFonts w:ascii="Calibri" w:hAnsi="Calibri"/>
                <w:sz w:val="18"/>
              </w:rPr>
              <w:t>Enforce role-based access control</w:t>
            </w:r>
          </w:p>
        </w:tc>
        <w:tc>
          <w:tcPr>
            <w:tcW w:type="dxa" w:w="2160"/>
            <w:shd w:fill="F2F2F2"/>
          </w:tcPr>
          <w:p>
            <w:r>
              <w:rPr>
                <w:rFonts w:ascii="Calibri" w:hAnsi="Calibri"/>
                <w:sz w:val="18"/>
              </w:rPr>
              <w:t>Must</w:t>
            </w:r>
          </w:p>
        </w:tc>
        <w:tc>
          <w:tcPr>
            <w:tcW w:type="dxa" w:w="2160"/>
            <w:shd w:fill="F2F2F2"/>
          </w:tcPr>
          <w:p>
            <w:r>
              <w:rPr>
                <w:rFonts w:ascii="Calibri" w:hAnsi="Calibri"/>
                <w:sz w:val="18"/>
              </w:rPr>
              <w:t>RBAC covers clerk, manager, auditor, admin</w:t>
            </w:r>
          </w:p>
        </w:tc>
      </w:tr>
      <w:tr>
        <w:tc>
          <w:tcPr>
            <w:tcW w:type="dxa" w:w="2160"/>
          </w:tcPr>
          <w:p>
            <w:r>
              <w:rPr>
                <w:rFonts w:ascii="Calibri" w:hAnsi="Calibri"/>
                <w:sz w:val="18"/>
              </w:rPr>
              <w:t>BR-120</w:t>
            </w:r>
          </w:p>
        </w:tc>
        <w:tc>
          <w:tcPr>
            <w:tcW w:type="dxa" w:w="2160"/>
          </w:tcPr>
          <w:p>
            <w:r>
              <w:rPr>
                <w:rFonts w:ascii="Calibri" w:hAnsi="Calibri"/>
                <w:sz w:val="18"/>
              </w:rPr>
              <w:t>Isolate data between tenants</w:t>
            </w:r>
          </w:p>
        </w:tc>
        <w:tc>
          <w:tcPr>
            <w:tcW w:type="dxa" w:w="2160"/>
          </w:tcPr>
          <w:p>
            <w:r>
              <w:rPr>
                <w:rFonts w:ascii="Calibri" w:hAnsi="Calibri"/>
                <w:sz w:val="18"/>
              </w:rPr>
              <w:t>Must</w:t>
            </w:r>
          </w:p>
        </w:tc>
        <w:tc>
          <w:tcPr>
            <w:tcW w:type="dxa" w:w="2160"/>
          </w:tcPr>
          <w:p>
            <w:r>
              <w:rPr>
                <w:rFonts w:ascii="Calibri" w:hAnsi="Calibri"/>
                <w:sz w:val="18"/>
              </w:rPr>
              <w:t>Tenant isolation at all layers</w:t>
            </w:r>
          </w:p>
        </w:tc>
      </w:tr>
      <w:tr>
        <w:tc>
          <w:tcPr>
            <w:tcW w:type="dxa" w:w="2160"/>
            <w:shd w:fill="F2F2F2"/>
          </w:tcPr>
          <w:p>
            <w:r>
              <w:rPr>
                <w:rFonts w:ascii="Calibri" w:hAnsi="Calibri"/>
                <w:sz w:val="18"/>
              </w:rPr>
              <w:t>BR-121</w:t>
            </w:r>
          </w:p>
        </w:tc>
        <w:tc>
          <w:tcPr>
            <w:tcW w:type="dxa" w:w="2160"/>
            <w:shd w:fill="F2F2F2"/>
          </w:tcPr>
          <w:p>
            <w:r>
              <w:rPr>
                <w:rFonts w:ascii="Calibri" w:hAnsi="Calibri"/>
                <w:sz w:val="18"/>
              </w:rPr>
              <w:t>Allow administrators to view and manage learned corpus</w:t>
            </w:r>
          </w:p>
        </w:tc>
        <w:tc>
          <w:tcPr>
            <w:tcW w:type="dxa" w:w="2160"/>
            <w:shd w:fill="F2F2F2"/>
          </w:tcPr>
          <w:p>
            <w:r>
              <w:rPr>
                <w:rFonts w:ascii="Calibri" w:hAnsi="Calibri"/>
                <w:sz w:val="18"/>
              </w:rPr>
              <w:t>Should</w:t>
            </w:r>
          </w:p>
        </w:tc>
        <w:tc>
          <w:tcPr>
            <w:tcW w:type="dxa" w:w="2160"/>
            <w:shd w:fill="F2F2F2"/>
          </w:tcPr>
          <w:p>
            <w:r>
              <w:rPr>
                <w:rFonts w:ascii="Calibri" w:hAnsi="Calibri"/>
                <w:sz w:val="18"/>
              </w:rPr>
              <w:t>Admin search interface available</w:t>
            </w:r>
          </w:p>
        </w:tc>
      </w:tr>
      <w:tr>
        <w:tc>
          <w:tcPr>
            <w:tcW w:type="dxa" w:w="2160"/>
          </w:tcPr>
          <w:p>
            <w:r>
              <w:rPr>
                <w:rFonts w:ascii="Calibri" w:hAnsi="Calibri"/>
                <w:sz w:val="18"/>
              </w:rPr>
              <w:t>BR-122</w:t>
            </w:r>
          </w:p>
        </w:tc>
        <w:tc>
          <w:tcPr>
            <w:tcW w:type="dxa" w:w="2160"/>
          </w:tcPr>
          <w:p>
            <w:r>
              <w:rPr>
                <w:rFonts w:ascii="Calibri" w:hAnsi="Calibri"/>
                <w:sz w:val="18"/>
              </w:rPr>
              <w:t>Allow suppression of specific learned records</w:t>
            </w:r>
          </w:p>
        </w:tc>
        <w:tc>
          <w:tcPr>
            <w:tcW w:type="dxa" w:w="2160"/>
          </w:tcPr>
          <w:p>
            <w:r>
              <w:rPr>
                <w:rFonts w:ascii="Calibri" w:hAnsi="Calibri"/>
                <w:sz w:val="18"/>
              </w:rPr>
              <w:t>Should</w:t>
            </w:r>
          </w:p>
        </w:tc>
        <w:tc>
          <w:tcPr>
            <w:tcW w:type="dxa" w:w="2160"/>
          </w:tcPr>
          <w:p>
            <w:r>
              <w:rPr>
                <w:rFonts w:ascii="Calibri" w:hAnsi="Calibri"/>
                <w:sz w:val="18"/>
              </w:rPr>
              <w:t>Suppression reversible and audited</w:t>
            </w:r>
          </w:p>
        </w:tc>
      </w:tr>
      <w:tr>
        <w:tc>
          <w:tcPr>
            <w:tcW w:type="dxa" w:w="2160"/>
            <w:shd w:fill="F2F2F2"/>
          </w:tcPr>
          <w:p>
            <w:r>
              <w:rPr>
                <w:rFonts w:ascii="Calibri" w:hAnsi="Calibri"/>
                <w:sz w:val="18"/>
              </w:rPr>
              <w:t>BR-123</w:t>
            </w:r>
          </w:p>
        </w:tc>
        <w:tc>
          <w:tcPr>
            <w:tcW w:type="dxa" w:w="2160"/>
            <w:shd w:fill="F2F2F2"/>
          </w:tcPr>
          <w:p>
            <w:r>
              <w:rPr>
                <w:rFonts w:ascii="Calibri" w:hAnsi="Calibri"/>
                <w:sz w:val="18"/>
              </w:rPr>
              <w:t>Provide governance dashboard</w:t>
            </w:r>
          </w:p>
        </w:tc>
        <w:tc>
          <w:tcPr>
            <w:tcW w:type="dxa" w:w="2160"/>
            <w:shd w:fill="F2F2F2"/>
          </w:tcPr>
          <w:p>
            <w:r>
              <w:rPr>
                <w:rFonts w:ascii="Calibri" w:hAnsi="Calibri"/>
                <w:sz w:val="18"/>
              </w:rPr>
              <w:t>Should</w:t>
            </w:r>
          </w:p>
        </w:tc>
        <w:tc>
          <w:tcPr>
            <w:tcW w:type="dxa" w:w="2160"/>
            <w:shd w:fill="F2F2F2"/>
          </w:tcPr>
          <w:p>
            <w:r>
              <w:rPr>
                <w:rFonts w:ascii="Calibri" w:hAnsi="Calibri"/>
                <w:sz w:val="18"/>
              </w:rPr>
              <w:t>Shows corpus size, accuracy, alerts</w:t>
            </w:r>
          </w:p>
        </w:tc>
      </w:tr>
      <w:tr>
        <w:tc>
          <w:tcPr>
            <w:tcW w:type="dxa" w:w="2160"/>
          </w:tcPr>
          <w:p>
            <w:r>
              <w:rPr>
                <w:rFonts w:ascii="Calibri" w:hAnsi="Calibri"/>
                <w:sz w:val="18"/>
              </w:rPr>
              <w:t>BR-124</w:t>
            </w:r>
          </w:p>
        </w:tc>
        <w:tc>
          <w:tcPr>
            <w:tcW w:type="dxa" w:w="2160"/>
          </w:tcPr>
          <w:p>
            <w:r>
              <w:rPr>
                <w:rFonts w:ascii="Calibri" w:hAnsi="Calibri"/>
                <w:sz w:val="18"/>
              </w:rPr>
              <w:t>Support emergency shutdown of auto-post</w:t>
            </w:r>
          </w:p>
        </w:tc>
        <w:tc>
          <w:tcPr>
            <w:tcW w:type="dxa" w:w="2160"/>
          </w:tcPr>
          <w:p>
            <w:r>
              <w:rPr>
                <w:rFonts w:ascii="Calibri" w:hAnsi="Calibri"/>
                <w:sz w:val="18"/>
              </w:rPr>
              <w:t>Must</w:t>
            </w:r>
          </w:p>
        </w:tc>
        <w:tc>
          <w:tcPr>
            <w:tcW w:type="dxa" w:w="2160"/>
          </w:tcPr>
          <w:p>
            <w:r>
              <w:rPr>
                <w:rFonts w:ascii="Calibri" w:hAnsi="Calibri"/>
                <w:sz w:val="18"/>
              </w:rPr>
              <w:t>Emergency stop within 1 minute</w:t>
            </w:r>
          </w:p>
        </w:tc>
      </w:tr>
    </w:tbl>
    <w:p/>
    <w:p>
      <w:pPr>
        <w:pStyle w:val="Heading2"/>
      </w:pPr>
      <w:r>
        <w:t>4.12 Performance and Operations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8"/>
          </w:tcPr>
          <w:p>
            <w:r>
              <w:rPr>
                <w:rFonts w:ascii="Calibri" w:hAnsi="Calibri"/>
                <w:b/>
                <w:color w:val="FFFFFF"/>
                <w:sz w:val="20"/>
              </w:rPr>
              <w:t>ID</w:t>
            </w:r>
          </w:p>
        </w:tc>
        <w:tc>
          <w:tcPr>
            <w:tcW w:type="dxa" w:w="2160"/>
            <w:shd w:fill="1F4E78"/>
          </w:tcPr>
          <w:p>
            <w:r>
              <w:rPr>
                <w:rFonts w:ascii="Calibri" w:hAnsi="Calibri"/>
                <w:b/>
                <w:color w:val="FFFFFF"/>
                <w:sz w:val="20"/>
              </w:rPr>
              <w:t>Requirement</w:t>
            </w:r>
          </w:p>
        </w:tc>
        <w:tc>
          <w:tcPr>
            <w:tcW w:type="dxa" w:w="2160"/>
            <w:shd w:fill="1F4E78"/>
          </w:tcPr>
          <w:p>
            <w:r>
              <w:rPr>
                <w:rFonts w:ascii="Calibri" w:hAnsi="Calibri"/>
                <w:b/>
                <w:color w:val="FFFFFF"/>
                <w:sz w:val="20"/>
              </w:rPr>
              <w:t>Priority</w:t>
            </w:r>
          </w:p>
        </w:tc>
        <w:tc>
          <w:tcPr>
            <w:tcW w:type="dxa" w:w="2160"/>
            <w:shd w:fill="1F4E78"/>
          </w:tcPr>
          <w:p>
            <w:r>
              <w:rPr>
                <w:rFonts w:ascii="Calibri" w:hAnsi="Calibri"/>
                <w:b/>
                <w:color w:val="FFFFFF"/>
                <w:sz w:val="20"/>
              </w:rPr>
              <w:t>Acceptance Criteria</w:t>
            </w:r>
          </w:p>
        </w:tc>
      </w:tr>
      <w:tr>
        <w:tc>
          <w:tcPr>
            <w:tcW w:type="dxa" w:w="2160"/>
          </w:tcPr>
          <w:p>
            <w:r>
              <w:rPr>
                <w:rFonts w:ascii="Calibri" w:hAnsi="Calibri"/>
                <w:sz w:val="18"/>
              </w:rPr>
              <w:t>BR-125</w:t>
            </w:r>
          </w:p>
        </w:tc>
        <w:tc>
          <w:tcPr>
            <w:tcW w:type="dxa" w:w="2160"/>
          </w:tcPr>
          <w:p>
            <w:r>
              <w:rPr>
                <w:rFonts w:ascii="Calibri" w:hAnsi="Calibri"/>
                <w:sz w:val="18"/>
              </w:rPr>
              <w:t>Process invoices within defined latency targets</w:t>
            </w:r>
          </w:p>
        </w:tc>
        <w:tc>
          <w:tcPr>
            <w:tcW w:type="dxa" w:w="2160"/>
          </w:tcPr>
          <w:p>
            <w:r>
              <w:rPr>
                <w:rFonts w:ascii="Calibri" w:hAnsi="Calibri"/>
                <w:sz w:val="18"/>
              </w:rPr>
              <w:t>Must</w:t>
            </w:r>
          </w:p>
        </w:tc>
        <w:tc>
          <w:tcPr>
            <w:tcW w:type="dxa" w:w="2160"/>
          </w:tcPr>
          <w:p>
            <w:r>
              <w:rPr>
                <w:rFonts w:ascii="Calibri" w:hAnsi="Calibri"/>
                <w:sz w:val="18"/>
              </w:rPr>
              <w:t>p95 latency under 2 seconds</w:t>
            </w:r>
          </w:p>
        </w:tc>
      </w:tr>
      <w:tr>
        <w:tc>
          <w:tcPr>
            <w:tcW w:type="dxa" w:w="2160"/>
            <w:shd w:fill="F2F2F2"/>
          </w:tcPr>
          <w:p>
            <w:r>
              <w:rPr>
                <w:rFonts w:ascii="Calibri" w:hAnsi="Calibri"/>
                <w:sz w:val="18"/>
              </w:rPr>
              <w:t>BR-126</w:t>
            </w:r>
          </w:p>
        </w:tc>
        <w:tc>
          <w:tcPr>
            <w:tcW w:type="dxa" w:w="2160"/>
            <w:shd w:fill="F2F2F2"/>
          </w:tcPr>
          <w:p>
            <w:r>
              <w:rPr>
                <w:rFonts w:ascii="Calibri" w:hAnsi="Calibri"/>
                <w:sz w:val="18"/>
              </w:rPr>
              <w:t>Handle peak volumes without degradation</w:t>
            </w:r>
          </w:p>
        </w:tc>
        <w:tc>
          <w:tcPr>
            <w:tcW w:type="dxa" w:w="2160"/>
            <w:shd w:fill="F2F2F2"/>
          </w:tcPr>
          <w:p>
            <w:r>
              <w:rPr>
                <w:rFonts w:ascii="Calibri" w:hAnsi="Calibri"/>
                <w:sz w:val="18"/>
              </w:rPr>
              <w:t>Must</w:t>
            </w:r>
          </w:p>
        </w:tc>
        <w:tc>
          <w:tcPr>
            <w:tcW w:type="dxa" w:w="2160"/>
            <w:shd w:fill="F2F2F2"/>
          </w:tcPr>
          <w:p>
            <w:r>
              <w:rPr>
                <w:rFonts w:ascii="Calibri" w:hAnsi="Calibri"/>
                <w:sz w:val="18"/>
              </w:rPr>
              <w:t>System handles 10,000 invoices per hour</w:t>
            </w:r>
          </w:p>
        </w:tc>
      </w:tr>
      <w:tr>
        <w:tc>
          <w:tcPr>
            <w:tcW w:type="dxa" w:w="2160"/>
          </w:tcPr>
          <w:p>
            <w:r>
              <w:rPr>
                <w:rFonts w:ascii="Calibri" w:hAnsi="Calibri"/>
                <w:sz w:val="18"/>
              </w:rPr>
              <w:t>BR-127</w:t>
            </w:r>
          </w:p>
        </w:tc>
        <w:tc>
          <w:tcPr>
            <w:tcW w:type="dxa" w:w="2160"/>
          </w:tcPr>
          <w:p>
            <w:r>
              <w:rPr>
                <w:rFonts w:ascii="Calibri" w:hAnsi="Calibri"/>
                <w:sz w:val="18"/>
              </w:rPr>
              <w:t>Queue write-back operations asynchronously</w:t>
            </w:r>
          </w:p>
        </w:tc>
        <w:tc>
          <w:tcPr>
            <w:tcW w:type="dxa" w:w="2160"/>
          </w:tcPr>
          <w:p>
            <w:r>
              <w:rPr>
                <w:rFonts w:ascii="Calibri" w:hAnsi="Calibri"/>
                <w:sz w:val="18"/>
              </w:rPr>
              <w:t>Must</w:t>
            </w:r>
          </w:p>
        </w:tc>
        <w:tc>
          <w:tcPr>
            <w:tcW w:type="dxa" w:w="2160"/>
          </w:tcPr>
          <w:p>
            <w:r>
              <w:rPr>
                <w:rFonts w:ascii="Calibri" w:hAnsi="Calibri"/>
                <w:sz w:val="18"/>
              </w:rPr>
              <w:t>Write-back in background within 5 minutes</w:t>
            </w:r>
          </w:p>
        </w:tc>
      </w:tr>
      <w:tr>
        <w:tc>
          <w:tcPr>
            <w:tcW w:type="dxa" w:w="2160"/>
            <w:shd w:fill="F2F2F2"/>
          </w:tcPr>
          <w:p>
            <w:r>
              <w:rPr>
                <w:rFonts w:ascii="Calibri" w:hAnsi="Calibri"/>
                <w:sz w:val="18"/>
              </w:rPr>
              <w:t>BR-128</w:t>
            </w:r>
          </w:p>
        </w:tc>
        <w:tc>
          <w:tcPr>
            <w:tcW w:type="dxa" w:w="2160"/>
            <w:shd w:fill="F2F2F2"/>
          </w:tcPr>
          <w:p>
            <w:r>
              <w:rPr>
                <w:rFonts w:ascii="Calibri" w:hAnsi="Calibri"/>
                <w:sz w:val="18"/>
              </w:rPr>
              <w:t>Provide health checks and status endpoints</w:t>
            </w:r>
          </w:p>
        </w:tc>
        <w:tc>
          <w:tcPr>
            <w:tcW w:type="dxa" w:w="2160"/>
            <w:shd w:fill="F2F2F2"/>
          </w:tcPr>
          <w:p>
            <w:r>
              <w:rPr>
                <w:rFonts w:ascii="Calibri" w:hAnsi="Calibri"/>
                <w:sz w:val="18"/>
              </w:rPr>
              <w:t>Must</w:t>
            </w:r>
          </w:p>
        </w:tc>
        <w:tc>
          <w:tcPr>
            <w:tcW w:type="dxa" w:w="2160"/>
            <w:shd w:fill="F2F2F2"/>
          </w:tcPr>
          <w:p>
            <w:r>
              <w:rPr>
                <w:rFonts w:ascii="Calibri" w:hAnsi="Calibri"/>
                <w:sz w:val="18"/>
              </w:rPr>
              <w:t>Health endpoint returns 200 when healthy</w:t>
            </w:r>
          </w:p>
        </w:tc>
      </w:tr>
      <w:tr>
        <w:tc>
          <w:tcPr>
            <w:tcW w:type="dxa" w:w="2160"/>
          </w:tcPr>
          <w:p>
            <w:r>
              <w:rPr>
                <w:rFonts w:ascii="Calibri" w:hAnsi="Calibri"/>
                <w:sz w:val="18"/>
              </w:rPr>
              <w:t>BR-129</w:t>
            </w:r>
          </w:p>
        </w:tc>
        <w:tc>
          <w:tcPr>
            <w:tcW w:type="dxa" w:w="2160"/>
          </w:tcPr>
          <w:p>
            <w:r>
              <w:rPr>
                <w:rFonts w:ascii="Calibri" w:hAnsi="Calibri"/>
                <w:sz w:val="18"/>
              </w:rPr>
              <w:t>Log errors with sufficient detail for debugging</w:t>
            </w:r>
          </w:p>
        </w:tc>
        <w:tc>
          <w:tcPr>
            <w:tcW w:type="dxa" w:w="2160"/>
          </w:tcPr>
          <w:p>
            <w:r>
              <w:rPr>
                <w:rFonts w:ascii="Calibri" w:hAnsi="Calibri"/>
                <w:sz w:val="18"/>
              </w:rPr>
              <w:t>Must</w:t>
            </w:r>
          </w:p>
        </w:tc>
        <w:tc>
          <w:tcPr>
            <w:tcW w:type="dxa" w:w="2160"/>
          </w:tcPr>
          <w:p>
            <w:r>
              <w:rPr>
                <w:rFonts w:ascii="Calibri" w:hAnsi="Calibri"/>
                <w:sz w:val="18"/>
              </w:rPr>
              <w:t>Error logs include stack trace and context</w:t>
            </w:r>
          </w:p>
        </w:tc>
      </w:tr>
      <w:tr>
        <w:tc>
          <w:tcPr>
            <w:tcW w:type="dxa" w:w="2160"/>
            <w:shd w:fill="F2F2F2"/>
          </w:tcPr>
          <w:p>
            <w:r>
              <w:rPr>
                <w:rFonts w:ascii="Calibri" w:hAnsi="Calibri"/>
                <w:sz w:val="18"/>
              </w:rPr>
              <w:t>BR-130</w:t>
            </w:r>
          </w:p>
        </w:tc>
        <w:tc>
          <w:tcPr>
            <w:tcW w:type="dxa" w:w="2160"/>
            <w:shd w:fill="F2F2F2"/>
          </w:tcPr>
          <w:p>
            <w:r>
              <w:rPr>
                <w:rFonts w:ascii="Calibri" w:hAnsi="Calibri"/>
                <w:sz w:val="18"/>
              </w:rPr>
              <w:t>Support graceful degradation on component failure</w:t>
            </w:r>
          </w:p>
        </w:tc>
        <w:tc>
          <w:tcPr>
            <w:tcW w:type="dxa" w:w="2160"/>
            <w:shd w:fill="F2F2F2"/>
          </w:tcPr>
          <w:p>
            <w:r>
              <w:rPr>
                <w:rFonts w:ascii="Calibri" w:hAnsi="Calibri"/>
                <w:sz w:val="18"/>
              </w:rPr>
              <w:t>Must</w:t>
            </w:r>
          </w:p>
        </w:tc>
        <w:tc>
          <w:tcPr>
            <w:tcW w:type="dxa" w:w="2160"/>
            <w:shd w:fill="F2F2F2"/>
          </w:tcPr>
          <w:p>
            <w:r>
              <w:rPr>
                <w:rFonts w:ascii="Calibri" w:hAnsi="Calibri"/>
                <w:sz w:val="18"/>
              </w:rPr>
              <w:t>Failure routes to fallback or review</w:t>
            </w:r>
          </w:p>
        </w:tc>
      </w:tr>
      <w:tr>
        <w:tc>
          <w:tcPr>
            <w:tcW w:type="dxa" w:w="2160"/>
          </w:tcPr>
          <w:p>
            <w:r>
              <w:rPr>
                <w:rFonts w:ascii="Calibri" w:hAnsi="Calibri"/>
                <w:sz w:val="18"/>
              </w:rPr>
              <w:t>BR-131</w:t>
            </w:r>
          </w:p>
        </w:tc>
        <w:tc>
          <w:tcPr>
            <w:tcW w:type="dxa" w:w="2160"/>
          </w:tcPr>
          <w:p>
            <w:r>
              <w:rPr>
                <w:rFonts w:ascii="Calibri" w:hAnsi="Calibri"/>
                <w:sz w:val="18"/>
              </w:rPr>
              <w:t>Provide monitoring and alerting</w:t>
            </w:r>
          </w:p>
        </w:tc>
        <w:tc>
          <w:tcPr>
            <w:tcW w:type="dxa" w:w="2160"/>
          </w:tcPr>
          <w:p>
            <w:r>
              <w:rPr>
                <w:rFonts w:ascii="Calibri" w:hAnsi="Calibri"/>
                <w:sz w:val="18"/>
              </w:rPr>
              <w:t>Must</w:t>
            </w:r>
          </w:p>
        </w:tc>
        <w:tc>
          <w:tcPr>
            <w:tcW w:type="dxa" w:w="2160"/>
          </w:tcPr>
          <w:p>
            <w:r>
              <w:rPr>
                <w:rFonts w:ascii="Calibri" w:hAnsi="Calibri"/>
                <w:sz w:val="18"/>
              </w:rPr>
              <w:t>Alerts on error rate, latency, queue depth</w:t>
            </w:r>
          </w:p>
        </w:tc>
      </w:tr>
      <w:tr>
        <w:tc>
          <w:tcPr>
            <w:tcW w:type="dxa" w:w="2160"/>
            <w:shd w:fill="F2F2F2"/>
          </w:tcPr>
          <w:p>
            <w:r>
              <w:rPr>
                <w:rFonts w:ascii="Calibri" w:hAnsi="Calibri"/>
                <w:sz w:val="18"/>
              </w:rPr>
              <w:t>BR-132</w:t>
            </w:r>
          </w:p>
        </w:tc>
        <w:tc>
          <w:tcPr>
            <w:tcW w:type="dxa" w:w="2160"/>
            <w:shd w:fill="F2F2F2"/>
          </w:tcPr>
          <w:p>
            <w:r>
              <w:rPr>
                <w:rFonts w:ascii="Calibri" w:hAnsi="Calibri"/>
                <w:sz w:val="18"/>
              </w:rPr>
              <w:t>Support backup and recovery of learned corpus</w:t>
            </w:r>
          </w:p>
        </w:tc>
        <w:tc>
          <w:tcPr>
            <w:tcW w:type="dxa" w:w="2160"/>
            <w:shd w:fill="F2F2F2"/>
          </w:tcPr>
          <w:p>
            <w:r>
              <w:rPr>
                <w:rFonts w:ascii="Calibri" w:hAnsi="Calibri"/>
                <w:sz w:val="18"/>
              </w:rPr>
              <w:t>Must</w:t>
            </w:r>
          </w:p>
        </w:tc>
        <w:tc>
          <w:tcPr>
            <w:tcW w:type="dxa" w:w="2160"/>
            <w:shd w:fill="F2F2F2"/>
          </w:tcPr>
          <w:p>
            <w:r>
              <w:rPr>
                <w:rFonts w:ascii="Calibri" w:hAnsi="Calibri"/>
                <w:sz w:val="18"/>
              </w:rPr>
              <w:t>Daily backups with 7-day retention</w:t>
            </w:r>
          </w:p>
        </w:tc>
      </w:tr>
      <w:tr>
        <w:tc>
          <w:tcPr>
            <w:tcW w:type="dxa" w:w="2160"/>
          </w:tcPr>
          <w:p>
            <w:r>
              <w:rPr>
                <w:rFonts w:ascii="Calibri" w:hAnsi="Calibri"/>
                <w:sz w:val="18"/>
              </w:rPr>
              <w:t>BR-133</w:t>
            </w:r>
          </w:p>
        </w:tc>
        <w:tc>
          <w:tcPr>
            <w:tcW w:type="dxa" w:w="2160"/>
          </w:tcPr>
          <w:p>
            <w:r>
              <w:rPr>
                <w:rFonts w:ascii="Calibri" w:hAnsi="Calibri"/>
                <w:sz w:val="18"/>
              </w:rPr>
              <w:t>Handle planned maintenance without data loss</w:t>
            </w:r>
          </w:p>
        </w:tc>
        <w:tc>
          <w:tcPr>
            <w:tcW w:type="dxa" w:w="2160"/>
          </w:tcPr>
          <w:p>
            <w:r>
              <w:rPr>
                <w:rFonts w:ascii="Calibri" w:hAnsi="Calibri"/>
                <w:sz w:val="18"/>
              </w:rPr>
              <w:t>Should</w:t>
            </w:r>
          </w:p>
        </w:tc>
        <w:tc>
          <w:tcPr>
            <w:tcW w:type="dxa" w:w="2160"/>
          </w:tcPr>
          <w:p>
            <w:r>
              <w:rPr>
                <w:rFonts w:ascii="Calibri" w:hAnsi="Calibri"/>
                <w:sz w:val="18"/>
              </w:rPr>
              <w:t>Maintenance windows with zero downtime</w:t>
            </w:r>
          </w:p>
        </w:tc>
      </w:tr>
      <w:tr>
        <w:tc>
          <w:tcPr>
            <w:tcW w:type="dxa" w:w="2160"/>
            <w:shd w:fill="F2F2F2"/>
          </w:tcPr>
          <w:p>
            <w:r>
              <w:rPr>
                <w:rFonts w:ascii="Calibri" w:hAnsi="Calibri"/>
                <w:sz w:val="18"/>
              </w:rPr>
              <w:t>BR-134</w:t>
            </w:r>
          </w:p>
        </w:tc>
        <w:tc>
          <w:tcPr>
            <w:tcW w:type="dxa" w:w="2160"/>
            <w:shd w:fill="F2F2F2"/>
          </w:tcPr>
          <w:p>
            <w:r>
              <w:rPr>
                <w:rFonts w:ascii="Calibri" w:hAnsi="Calibri"/>
                <w:sz w:val="18"/>
              </w:rPr>
              <w:t>Support horizontal scaling for increased load</w:t>
            </w:r>
          </w:p>
        </w:tc>
        <w:tc>
          <w:tcPr>
            <w:tcW w:type="dxa" w:w="2160"/>
            <w:shd w:fill="F2F2F2"/>
          </w:tcPr>
          <w:p>
            <w:r>
              <w:rPr>
                <w:rFonts w:ascii="Calibri" w:hAnsi="Calibri"/>
                <w:sz w:val="18"/>
              </w:rPr>
              <w:t>Should</w:t>
            </w:r>
          </w:p>
        </w:tc>
        <w:tc>
          <w:tcPr>
            <w:tcW w:type="dxa" w:w="2160"/>
            <w:shd w:fill="F2F2F2"/>
          </w:tcPr>
          <w:p>
            <w:r>
              <w:rPr>
                <w:rFonts w:ascii="Calibri" w:hAnsi="Calibri"/>
                <w:sz w:val="18"/>
              </w:rPr>
              <w:t>New instances via container orchestration</w:t>
            </w:r>
          </w:p>
        </w:tc>
      </w:tr>
    </w:tbl>
    <w:p/>
    <w:p>
      <w:pPr>
        <w:pStyle w:val="Heading1"/>
      </w:pPr>
      <w:r>
        <w:t>5. Success Criteria and Key Performance Indicators</w:t>
      </w:r>
    </w:p>
    <w:p>
      <w:pPr>
        <w:spacing w:after="120"/>
      </w:pPr>
      <w:r>
        <w:rPr>
          <w:rFonts w:ascii="Calibri" w:hAnsi="Calibri"/>
          <w:b w:val="0"/>
          <w:i w:val="0"/>
          <w:sz w:val="20"/>
        </w:rPr>
        <w:t>The following metrics will be used to measure the success of the new system.</w:t>
      </w:r>
    </w:p>
    <w:p>
      <w:pPr>
        <w:pStyle w:val="ListBullet"/>
        <w:spacing w:after="80"/>
      </w:pPr>
      <w:r>
        <w:rPr>
          <w:rFonts w:ascii="Calibri" w:hAnsi="Calibri"/>
          <w:sz w:val="20"/>
        </w:rPr>
        <w:t>Reduction in professional services hours spent on rule maintenance for non-PO coding.</w:t>
      </w:r>
    </w:p>
    <w:p>
      <w:pPr>
        <w:pStyle w:val="ListBullet"/>
        <w:spacing w:after="80"/>
      </w:pPr>
      <w:r>
        <w:rPr>
          <w:rFonts w:ascii="Calibri" w:hAnsi="Calibri"/>
          <w:sz w:val="20"/>
        </w:rPr>
        <w:t>Increase in automation rate for non-PO invoices within the first six months of operation.</w:t>
      </w:r>
    </w:p>
    <w:p>
      <w:pPr>
        <w:pStyle w:val="ListBullet"/>
        <w:spacing w:after="80"/>
      </w:pPr>
      <w:r>
        <w:rPr>
          <w:rFonts w:ascii="Calibri" w:hAnsi="Calibri"/>
          <w:sz w:val="20"/>
        </w:rPr>
        <w:t>Reduction in time to onboard new vendors to automated coding.</w:t>
      </w:r>
    </w:p>
    <w:p>
      <w:pPr>
        <w:pStyle w:val="ListBullet"/>
        <w:spacing w:after="80"/>
      </w:pPr>
      <w:r>
        <w:rPr>
          <w:rFonts w:ascii="Calibri" w:hAnsi="Calibri"/>
          <w:sz w:val="20"/>
        </w:rPr>
        <w:t>Maintenance or improvement of coding accuracy compared to the deterministic engine baseline.</w:t>
      </w:r>
    </w:p>
    <w:p>
      <w:pPr>
        <w:pStyle w:val="ListBullet"/>
        <w:spacing w:after="80"/>
      </w:pPr>
      <w:r>
        <w:rPr>
          <w:rFonts w:ascii="Calibri" w:hAnsi="Calibri"/>
          <w:sz w:val="20"/>
        </w:rPr>
        <w:t>Full auditability of all automated decisions with complete trace reconstruction.</w:t>
      </w:r>
    </w:p>
    <w:p>
      <w:pPr>
        <w:pStyle w:val="ListBullet"/>
        <w:spacing w:after="80"/>
      </w:pPr>
      <w:r>
        <w:rPr>
          <w:rFonts w:ascii="Calibri" w:hAnsi="Calibri"/>
          <w:sz w:val="20"/>
        </w:rPr>
        <w:t>Measurable confidence calibration where predicted confidence matches actual accuracy within defined tolerance.</w:t>
      </w:r>
    </w:p>
    <w:p>
      <w:pPr>
        <w:pStyle w:val="ListBullet"/>
        <w:spacing w:after="80"/>
      </w:pPr>
      <w:r>
        <w:rPr>
          <w:rFonts w:ascii="Calibri" w:hAnsi="Calibri"/>
          <w:sz w:val="20"/>
        </w:rPr>
        <w:t>Reduction in average review time for invoices routed to human review.</w:t>
      </w:r>
    </w:p>
    <w:p>
      <w:pPr>
        <w:pStyle w:val="ListBullet"/>
        <w:spacing w:after="80"/>
      </w:pPr>
      <w:r>
        <w:rPr>
          <w:rFonts w:ascii="Calibri" w:hAnsi="Calibri"/>
          <w:sz w:val="20"/>
        </w:rPr>
        <w:t>Increase in the proportion of invoices handled without professional services intervention.</w:t>
      </w:r>
    </w:p>
    <w:p>
      <w:pPr>
        <w:pStyle w:val="ListBullet"/>
        <w:spacing w:after="80"/>
      </w:pPr>
      <w:r>
        <w:rPr>
          <w:rFonts w:ascii="Calibri" w:hAnsi="Calibri"/>
          <w:sz w:val="20"/>
        </w:rPr>
        <w:t>Measurable drift detection and response time when vendor patterns change.</w:t>
      </w:r>
    </w:p>
    <w:p>
      <w:pPr>
        <w:pStyle w:val="ListBullet"/>
        <w:spacing w:after="80"/>
      </w:pPr>
      <w:r>
        <w:rPr>
          <w:rFonts w:ascii="Calibri" w:hAnsi="Calibri"/>
          <w:sz w:val="20"/>
        </w:rPr>
        <w:t>User satisfaction scores from accounts payable and finance staff.</w:t>
      </w:r>
    </w:p>
    <w:p>
      <w:pPr>
        <w:pStyle w:val="Heading1"/>
      </w:pPr>
      <w:r>
        <w:t>6. Assumptions and Dependencies</w:t>
      </w:r>
    </w:p>
    <w:p>
      <w:pPr>
        <w:spacing w:after="120"/>
      </w:pPr>
      <w:r>
        <w:rPr>
          <w:rFonts w:ascii="Calibri" w:hAnsi="Calibri"/>
          <w:b w:val="0"/>
          <w:i w:val="0"/>
          <w:sz w:val="20"/>
        </w:rPr>
        <w:t>The following assumptions and dependencies affect the delivery and operation of the system.</w:t>
      </w:r>
    </w:p>
    <w:p>
      <w:pPr>
        <w:pStyle w:val="ListBullet"/>
        <w:spacing w:after="80"/>
      </w:pPr>
      <w:r>
        <w:rPr>
          <w:rFonts w:ascii="Calibri" w:hAnsi="Calibri"/>
          <w:sz w:val="20"/>
        </w:rPr>
        <w:t>Historical non-PO invoice data with final posted coding is available for seeding the learning corpus.</w:t>
      </w:r>
    </w:p>
    <w:p>
      <w:pPr>
        <w:pStyle w:val="ListBullet"/>
        <w:spacing w:after="80"/>
      </w:pPr>
      <w:r>
        <w:rPr>
          <w:rFonts w:ascii="Calibri" w:hAnsi="Calibri"/>
          <w:sz w:val="20"/>
        </w:rPr>
        <w:t>The existing extraction pipeline provides structured invoice data in a consistent format.</w:t>
      </w:r>
    </w:p>
    <w:p>
      <w:pPr>
        <w:pStyle w:val="ListBullet"/>
        <w:spacing w:after="80"/>
      </w:pPr>
      <w:r>
        <w:rPr>
          <w:rFonts w:ascii="Calibri" w:hAnsi="Calibri"/>
          <w:sz w:val="20"/>
        </w:rPr>
        <w:t>Finance staff are willing and able to provide corrections and conversational feedback.</w:t>
      </w:r>
    </w:p>
    <w:p>
      <w:pPr>
        <w:pStyle w:val="ListBullet"/>
        <w:spacing w:after="80"/>
      </w:pPr>
      <w:r>
        <w:rPr>
          <w:rFonts w:ascii="Calibri" w:hAnsi="Calibri"/>
          <w:sz w:val="20"/>
        </w:rPr>
        <w:t>The organisation can tolerate a phased migration rather than immediate cutover for all clients.</w:t>
      </w:r>
    </w:p>
    <w:p>
      <w:pPr>
        <w:pStyle w:val="ListBullet"/>
        <w:spacing w:after="80"/>
      </w:pPr>
      <w:r>
        <w:rPr>
          <w:rFonts w:ascii="Calibri" w:hAnsi="Calibri"/>
          <w:sz w:val="20"/>
        </w:rPr>
        <w:t>Sufficient compute and storage resources are available for the vector store and inference workloads.</w:t>
      </w:r>
    </w:p>
    <w:p>
      <w:pPr>
        <w:pStyle w:val="ListBullet"/>
        <w:spacing w:after="80"/>
      </w:pPr>
      <w:r>
        <w:rPr>
          <w:rFonts w:ascii="Calibri" w:hAnsi="Calibri"/>
          <w:sz w:val="20"/>
        </w:rPr>
        <w:t>The existing database infrastructure supports the addition of a vector store extension.</w:t>
      </w:r>
    </w:p>
    <w:p>
      <w:pPr>
        <w:pStyle w:val="ListBullet"/>
        <w:spacing w:after="80"/>
      </w:pPr>
      <w:r>
        <w:rPr>
          <w:rFonts w:ascii="Calibri" w:hAnsi="Calibri"/>
          <w:sz w:val="20"/>
        </w:rPr>
        <w:t>Legal and compliance teams accept the proposed audit and retention approach.</w:t>
      </w:r>
    </w:p>
    <w:p>
      <w:pPr>
        <w:pStyle w:val="ListBullet"/>
        <w:spacing w:after="80"/>
      </w:pPr>
      <w:r>
        <w:rPr>
          <w:rFonts w:ascii="Calibri" w:hAnsi="Calibri"/>
          <w:sz w:val="20"/>
        </w:rPr>
        <w:t>Client contracts allow for the introduction of AI-assisted coding subject to appropriate safeguards.</w:t>
      </w:r>
    </w:p>
    <w:p>
      <w:pPr>
        <w:pStyle w:val="Heading1"/>
      </w:pPr>
      <w:r>
        <w:t>7. Risks and Constraints</w:t>
      </w:r>
    </w:p>
    <w:p>
      <w:pPr>
        <w:spacing w:after="120"/>
      </w:pPr>
      <w:r>
        <w:rPr>
          <w:rFonts w:ascii="Calibri" w:hAnsi="Calibri"/>
          <w:b w:val="0"/>
          <w:i w:val="0"/>
          <w:sz w:val="20"/>
        </w:rPr>
        <w:t>The following risks and constraints must be managed throughout the project.</w:t>
      </w:r>
    </w:p>
    <w:p>
      <w:pPr>
        <w:pStyle w:val="ListBullet"/>
        <w:spacing w:after="80"/>
      </w:pPr>
      <w:r>
        <w:rPr>
          <w:rFonts w:ascii="Calibri" w:hAnsi="Calibri"/>
          <w:sz w:val="20"/>
        </w:rPr>
        <w:t>Poor quality or inconsistent historical data may lead to bad learned patterns.</w:t>
      </w:r>
    </w:p>
    <w:p>
      <w:pPr>
        <w:pStyle w:val="ListBullet"/>
        <w:spacing w:after="80"/>
      </w:pPr>
      <w:r>
        <w:rPr>
          <w:rFonts w:ascii="Calibri" w:hAnsi="Calibri"/>
          <w:sz w:val="20"/>
        </w:rPr>
        <w:t>Staff resistance to providing feedback or distrust of automated predictions may limit learning.</w:t>
      </w:r>
    </w:p>
    <w:p>
      <w:pPr>
        <w:pStyle w:val="ListBullet"/>
        <w:spacing w:after="80"/>
      </w:pPr>
      <w:r>
        <w:rPr>
          <w:rFonts w:ascii="Calibri" w:hAnsi="Calibri"/>
          <w:sz w:val="20"/>
        </w:rPr>
        <w:t>Over-reliance on automation without adequate review may lead to missed errors.</w:t>
      </w:r>
    </w:p>
    <w:p>
      <w:pPr>
        <w:pStyle w:val="ListBullet"/>
        <w:spacing w:after="80"/>
      </w:pPr>
      <w:r>
        <w:rPr>
          <w:rFonts w:ascii="Calibri" w:hAnsi="Calibri"/>
          <w:sz w:val="20"/>
        </w:rPr>
        <w:t>Regulatory requirements may change, requiring updates to audit and retention policies.</w:t>
      </w:r>
    </w:p>
    <w:p>
      <w:pPr>
        <w:pStyle w:val="ListBullet"/>
        <w:spacing w:after="80"/>
      </w:pPr>
      <w:r>
        <w:rPr>
          <w:rFonts w:ascii="Calibri" w:hAnsi="Calibri"/>
          <w:sz w:val="20"/>
        </w:rPr>
        <w:t>Vendor behaviour may change faster than the system can adapt, causing temporary accuracy drops.</w:t>
      </w:r>
    </w:p>
    <w:p>
      <w:pPr>
        <w:pStyle w:val="ListBullet"/>
        <w:spacing w:after="80"/>
      </w:pPr>
      <w:r>
        <w:rPr>
          <w:rFonts w:ascii="Calibri" w:hAnsi="Calibri"/>
          <w:sz w:val="20"/>
        </w:rPr>
        <w:t>The learned corpus may grow very large, impacting retrieval performance and storage costs.</w:t>
      </w:r>
    </w:p>
    <w:p>
      <w:pPr>
        <w:pStyle w:val="ListBullet"/>
        <w:spacing w:after="80"/>
      </w:pPr>
      <w:r>
        <w:rPr>
          <w:rFonts w:ascii="Calibri" w:hAnsi="Calibri"/>
          <w:sz w:val="20"/>
        </w:rPr>
        <w:t>Integration with legacy client systems may be more complex than anticipated.</w:t>
      </w:r>
    </w:p>
    <w:p>
      <w:pPr>
        <w:pStyle w:val="ListBullet"/>
        <w:spacing w:after="80"/>
      </w:pPr>
      <w:r>
        <w:rPr>
          <w:rFonts w:ascii="Calibri" w:hAnsi="Calibri"/>
          <w:sz w:val="20"/>
        </w:rPr>
        <w:t>Data privacy regulations may restrict the use of certain invoice data for learning purposes.</w:t>
      </w:r>
    </w:p>
    <w:p>
      <w:pPr>
        <w:pStyle w:val="ListBullet"/>
        <w:spacing w:after="80"/>
      </w:pPr>
      <w:r>
        <w:rPr>
          <w:rFonts w:ascii="Calibri" w:hAnsi="Calibri"/>
          <w:sz w:val="20"/>
        </w:rPr>
        <w:t>The project timeline may be constrained by availability of historical data and access to client environments.</w:t>
      </w:r>
    </w:p>
    <w:p>
      <w:pPr>
        <w:pStyle w:val="Heading1"/>
      </w:pPr>
      <w:r>
        <w:t>8. Glossary</w:t>
      </w:r>
    </w:p>
    <w:p>
      <w:pPr>
        <w:pStyle w:val="ListBullet"/>
        <w:spacing w:after="80"/>
      </w:pPr>
      <w:r>
        <w:rPr>
          <w:rFonts w:ascii="Calibri" w:hAnsi="Calibri"/>
          <w:sz w:val="20"/>
        </w:rPr>
        <w:t>AP: Accounts Payable.</w:t>
      </w:r>
    </w:p>
    <w:p>
      <w:pPr>
        <w:pStyle w:val="ListBullet"/>
        <w:spacing w:after="80"/>
      </w:pPr>
      <w:r>
        <w:rPr>
          <w:rFonts w:ascii="Calibri" w:hAnsi="Calibri"/>
          <w:sz w:val="20"/>
        </w:rPr>
        <w:t>Auto-post: The automatic posting of an invoice to the general ledger without human review.</w:t>
      </w:r>
    </w:p>
    <w:p>
      <w:pPr>
        <w:pStyle w:val="ListBullet"/>
        <w:spacing w:after="80"/>
      </w:pPr>
      <w:r>
        <w:rPr>
          <w:rFonts w:ascii="Calibri" w:hAnsi="Calibri"/>
          <w:sz w:val="20"/>
        </w:rPr>
        <w:t>Coding: The assignment of general ledger account, cost centre, and tax codes to an invoice line.</w:t>
      </w:r>
    </w:p>
    <w:p>
      <w:pPr>
        <w:pStyle w:val="ListBullet"/>
        <w:spacing w:after="80"/>
      </w:pPr>
      <w:r>
        <w:rPr>
          <w:rFonts w:ascii="Calibri" w:hAnsi="Calibri"/>
          <w:sz w:val="20"/>
        </w:rPr>
        <w:t>Confidence score: A numerical measure of the system certainty in a prediction.</w:t>
      </w:r>
    </w:p>
    <w:p>
      <w:pPr>
        <w:pStyle w:val="ListBullet"/>
        <w:spacing w:after="80"/>
      </w:pPr>
      <w:r>
        <w:rPr>
          <w:rFonts w:ascii="Calibri" w:hAnsi="Calibri"/>
          <w:sz w:val="20"/>
        </w:rPr>
        <w:t>Corpus: The collection of historical and learned records used for retrieval.</w:t>
      </w:r>
    </w:p>
    <w:p>
      <w:pPr>
        <w:pStyle w:val="ListBullet"/>
        <w:spacing w:after="80"/>
      </w:pPr>
      <w:r>
        <w:rPr>
          <w:rFonts w:ascii="Calibri" w:hAnsi="Calibri"/>
          <w:sz w:val="20"/>
        </w:rPr>
        <w:t>Deterministic engine: The existing system that matches invoices against manually written rules.</w:t>
      </w:r>
    </w:p>
    <w:p>
      <w:pPr>
        <w:pStyle w:val="ListBullet"/>
        <w:spacing w:after="80"/>
      </w:pPr>
      <w:r>
        <w:rPr>
          <w:rFonts w:ascii="Calibri" w:hAnsi="Calibri"/>
          <w:sz w:val="20"/>
        </w:rPr>
        <w:t>Drift: A change in vendor behaviour or patterns that causes the system accuracy to degrade.</w:t>
      </w:r>
    </w:p>
    <w:p>
      <w:pPr>
        <w:pStyle w:val="ListBullet"/>
        <w:spacing w:after="80"/>
      </w:pPr>
      <w:r>
        <w:rPr>
          <w:rFonts w:ascii="Calibri" w:hAnsi="Calibri"/>
          <w:sz w:val="20"/>
        </w:rPr>
        <w:t>ERP: Enterprise Resource Planning system.</w:t>
      </w:r>
    </w:p>
    <w:p>
      <w:pPr>
        <w:pStyle w:val="ListBullet"/>
        <w:spacing w:after="80"/>
      </w:pPr>
      <w:r>
        <w:rPr>
          <w:rFonts w:ascii="Calibri" w:hAnsi="Calibri"/>
          <w:sz w:val="20"/>
        </w:rPr>
        <w:t>GL: General Ledger.</w:t>
      </w:r>
    </w:p>
    <w:p>
      <w:pPr>
        <w:pStyle w:val="ListBullet"/>
        <w:spacing w:after="80"/>
      </w:pPr>
      <w:r>
        <w:rPr>
          <w:rFonts w:ascii="Calibri" w:hAnsi="Calibri"/>
          <w:sz w:val="20"/>
        </w:rPr>
        <w:t>Human review: The process where an AP clerk or finance staff member checks and confirms or corrects a prediction.</w:t>
      </w:r>
    </w:p>
    <w:p>
      <w:pPr>
        <w:pStyle w:val="ListBullet"/>
        <w:spacing w:after="80"/>
      </w:pPr>
      <w:r>
        <w:rPr>
          <w:rFonts w:ascii="Calibri" w:hAnsi="Calibri"/>
          <w:sz w:val="20"/>
        </w:rPr>
        <w:t>MDM: Master Data Management.</w:t>
      </w:r>
    </w:p>
    <w:p>
      <w:pPr>
        <w:pStyle w:val="ListBullet"/>
        <w:spacing w:after="80"/>
      </w:pPr>
      <w:r>
        <w:rPr>
          <w:rFonts w:ascii="Calibri" w:hAnsi="Calibri"/>
          <w:sz w:val="20"/>
        </w:rPr>
        <w:t>Non-PO invoice: An invoice that is not associated with a purchase order.</w:t>
      </w:r>
    </w:p>
    <w:p>
      <w:pPr>
        <w:pStyle w:val="ListBullet"/>
        <w:spacing w:after="80"/>
      </w:pPr>
      <w:r>
        <w:rPr>
          <w:rFonts w:ascii="Calibri" w:hAnsi="Calibri"/>
          <w:sz w:val="20"/>
        </w:rPr>
        <w:t>RAG: Retrieval-Augmented Generation.</w:t>
      </w:r>
    </w:p>
    <w:p>
      <w:pPr>
        <w:pStyle w:val="ListBullet"/>
        <w:spacing w:after="80"/>
      </w:pPr>
      <w:r>
        <w:rPr>
          <w:rFonts w:ascii="Calibri" w:hAnsi="Calibri"/>
          <w:sz w:val="20"/>
        </w:rPr>
        <w:t>Shadow mode: Operation where predictions are made but not acted upon, for validation purposes.</w:t>
      </w:r>
    </w:p>
    <w:p>
      <w:pPr>
        <w:pStyle w:val="ListBullet"/>
        <w:spacing w:after="80"/>
      </w:pPr>
      <w:r>
        <w:rPr>
          <w:rFonts w:ascii="Calibri" w:hAnsi="Calibri"/>
          <w:sz w:val="20"/>
        </w:rPr>
        <w:t>Skill: A manually authored business rule in the existing deterministic engine.</w:t>
      </w:r>
    </w:p>
    <w:p>
      <w:pPr>
        <w:pStyle w:val="ListBullet"/>
        <w:spacing w:after="80"/>
      </w:pPr>
      <w:r>
        <w:rPr>
          <w:rFonts w:ascii="Calibri" w:hAnsi="Calibri"/>
          <w:sz w:val="20"/>
        </w:rPr>
        <w:t>Tenant: A client organisation with isolated data and configuration.</w:t>
      </w:r>
    </w:p>
    <w:p>
      <w:pPr>
        <w:pStyle w:val="ListBullet"/>
        <w:spacing w:after="80"/>
      </w:pPr>
      <w:r>
        <w:rPr>
          <w:rFonts w:ascii="Calibri" w:hAnsi="Calibri"/>
          <w:sz w:val="20"/>
        </w:rPr>
        <w:t>Write-back: The process of adding a confirmed outcome to the learned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