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POC Scope &amp; Demo Script</w:t>
      </w:r>
    </w:p>
    <w:p>
      <w:r>
        <w:t xml:space="preserve">AP Automation — Non-PO Invoice Coding | September 2026</w:t>
      </w:r>
    </w:p>
    <w:p/>
    <w:p>
      <w:pPr>
        <w:pStyle w:val="Heading1"/>
      </w:pPr>
      <w:r>
        <w:t xml:space="preserve">1. Purpose</w:t>
      </w:r>
    </w:p>
    <w:p>
      <w:r>
        <w:t xml:space="preserve">This document defines exactly what the POC builds, what it proves, and how it is demonstrated. It is the single source of truth for scope decisions.</w:t>
      </w:r>
    </w:p>
    <w:p/>
    <w:p>
      <w:pPr>
        <w:pStyle w:val="Heading1"/>
      </w:pPr>
      <w:r>
        <w:t xml:space="preserve">2. What We Are Proving</w:t>
      </w:r>
    </w:p>
    <w:p>
      <w:r>
        <w:t xml:space="preserve">Four claims, each with a measurable outcome:</w:t>
      </w:r>
    </w:p>
    <w:p/>
    <w:p>
      <w:pPr>
        <w:pStyle w:val="ListParagraph"/>
        <w:numPr>
          <w:ilvl w:val="0"/>
          <w:numId w:val="2"/>
        </w:numPr>
      </w:pPr>
      <w:r>
        <w:t xml:space="preserve">No PS bottleneck — automation rate measurably improves across the 1,000-invoice batch through the write-back loop alone, with no manual rule authoring</w:t>
      </w:r>
    </w:p>
    <w:p>
      <w:pPr>
        <w:pStyle w:val="ListParagraph"/>
        <w:numPr>
          <w:ilvl w:val="0"/>
          <w:numId w:val="2"/>
        </w:numPr>
      </w:pPr>
      <w:r>
        <w:t xml:space="preserve">Novelty handled by design — the system correctly routes hard-edge invoices (new vendors, no prior history) without breaking; cold-start handling works</w:t>
      </w:r>
    </w:p>
    <w:p>
      <w:pPr>
        <w:pStyle w:val="ListParagraph"/>
        <w:numPr>
          <w:ilvl w:val="0"/>
          <w:numId w:val="2"/>
        </w:numPr>
      </w:pPr>
      <w:r>
        <w:t xml:space="preserve">Governance proportional, not absent — low-confidence predictions route to human review automatically; high-confidence predictions are right ≥95% of the time</w:t>
      </w:r>
    </w:p>
    <w:p>
      <w:pPr>
        <w:pStyle w:val="ListParagraph"/>
        <w:numPr>
          <w:ilvl w:val="0"/>
          <w:numId w:val="2"/>
        </w:numPr>
      </w:pPr>
      <w:r>
        <w:t xml:space="preserve">Compliance-grade audit trail — every prediction produces a full provenance JSON: retrieved lines, similarity scores, confidence score, routing decision, confirming user</w:t>
      </w:r>
    </w:p>
    <w:p/>
    <w:p>
      <w:pPr>
        <w:pStyle w:val="Heading1"/>
      </w:pPr>
      <w:r>
        <w:t xml:space="preserve">3. What the POC Builds</w:t>
      </w:r>
    </w:p>
    <w:p/>
    <w:p>
      <w:pPr>
        <w:pStyle w:val="Heading2"/>
      </w:pPr>
      <w:r>
        <w:t xml:space="preserve">3.1 Dataset</w:t>
      </w:r>
    </w:p>
    <w:p>
      <w:pPr>
        <w:pStyle w:val="ListParagraph"/>
        <w:numPr>
          <w:ilvl w:val="0"/>
          <w:numId w:val="2"/>
        </w:numPr>
      </w:pPr>
      <w:r>
        <w:t xml:space="preserve">1,000 synthetic invoices: 700 routine / 200 near-edge / 100 hard-edge</w:t>
      </w:r>
    </w:p>
    <w:p>
      <w:pPr>
        <w:pStyle w:val="ListParagraph"/>
        <w:numPr>
          <w:ilvl w:val="0"/>
          <w:numId w:val="2"/>
        </w:numPr>
      </w:pPr>
      <w:r>
        <w:t xml:space="preserve">All labelled with ground-truth GL codes</w:t>
      </w:r>
    </w:p>
    <w:p>
      <w:pPr>
        <w:pStyle w:val="ListParagraph"/>
        <w:numPr>
          <w:ilvl w:val="0"/>
          <w:numId w:val="2"/>
        </w:numPr>
      </w:pPr>
      <w:r>
        <w:t xml:space="preserve">Covers known vendors, new vendors, ambiguous descriptions, foreign currency, missing fields</w:t>
      </w:r>
    </w:p>
    <w:p/>
    <w:p>
      <w:pPr>
        <w:pStyle w:val="Heading2"/>
      </w:pPr>
      <w:r>
        <w:t xml:space="preserve">3.2 Retrieval Module</w:t>
      </w:r>
    </w:p>
    <w:p>
      <w:pPr>
        <w:pStyle w:val="ListParagraph"/>
        <w:numPr>
          <w:ilvl w:val="0"/>
          <w:numId w:val="2"/>
        </w:numPr>
      </w:pPr>
      <w:r>
        <w:t xml:space="preserve">Description preprocessing pipeline (lowercase, strip PO refs, normalise abbreviations)</w:t>
      </w:r>
    </w:p>
    <w:p>
      <w:pPr>
        <w:pStyle w:val="ListParagraph"/>
        <w:numPr>
          <w:ilvl w:val="0"/>
          <w:numId w:val="2"/>
        </w:numPr>
      </w:pPr>
      <w:r>
        <w:t xml:space="preserve">Dense retrieval — text-embedding-3-small embeddings indexed in Qdrant</w:t>
      </w:r>
    </w:p>
    <w:p>
      <w:pPr>
        <w:pStyle w:val="ListParagraph"/>
        <w:numPr>
          <w:ilvl w:val="0"/>
          <w:numId w:val="2"/>
        </w:numPr>
      </w:pPr>
      <w:r>
        <w:t xml:space="preserve">Sparse retrieval — BM25 keyword matching</w:t>
      </w:r>
    </w:p>
    <w:p>
      <w:pPr>
        <w:pStyle w:val="ListParagraph"/>
        <w:numPr>
          <w:ilvl w:val="0"/>
          <w:numId w:val="2"/>
        </w:numPr>
      </w:pPr>
      <w:r>
        <w:t xml:space="preserve">Score fusion — Reciprocal Rank Fusion (RRF)</w:t>
      </w:r>
    </w:p>
    <w:p>
      <w:pPr>
        <w:pStyle w:val="ListParagraph"/>
        <w:numPr>
          <w:ilvl w:val="0"/>
          <w:numId w:val="2"/>
        </w:numPr>
      </w:pPr>
      <w:r>
        <w:t xml:space="preserve">Re-ranking — cosine primary, recency secondary, frequency tertiary</w:t>
      </w:r>
    </w:p>
    <w:p>
      <w:pPr>
        <w:pStyle w:val="ListParagraph"/>
        <w:numPr>
          <w:ilvl w:val="0"/>
          <w:numId w:val="2"/>
        </w:numPr>
      </w:pPr>
      <w:r>
        <w:t xml:space="preserve">Metadata pre-filtering — vendor ID, entity, amount band, currency</w:t>
      </w:r>
    </w:p>
    <w:p/>
    <w:p>
      <w:pPr>
        <w:pStyle w:val="Heading2"/>
      </w:pPr>
      <w:r>
        <w:t xml:space="preserve">3.3 Confidence Gate</w:t>
      </w:r>
    </w:p>
    <w:p>
      <w:pPr>
        <w:pStyle w:val="ListParagraph"/>
        <w:numPr>
          <w:ilvl w:val="0"/>
          <w:numId w:val="2"/>
        </w:numPr>
      </w:pPr>
      <w:r>
        <w:t xml:space="preserve">Agreement ratio + weighted agreement scoring</w:t>
      </w:r>
    </w:p>
    <w:p>
      <w:pPr>
        <w:pStyle w:val="ListParagraph"/>
        <w:numPr>
          <w:ilvl w:val="0"/>
          <w:numId w:val="2"/>
        </w:numPr>
      </w:pPr>
      <w:r>
        <w:t xml:space="preserve">Per-vendor thresholds</w:t>
      </w:r>
    </w:p>
    <w:p>
      <w:pPr>
        <w:pStyle w:val="ListParagraph"/>
        <w:numPr>
          <w:ilvl w:val="0"/>
          <w:numId w:val="2"/>
        </w:numPr>
      </w:pPr>
      <w:r>
        <w:t xml:space="preserve">Sparse retrieval hard rule: fewer than 3 retrieved lines always routes to review</w:t>
      </w:r>
    </w:p>
    <w:p/>
    <w:p>
      <w:pPr>
        <w:pStyle w:val="Heading2"/>
      </w:pPr>
      <w:r>
        <w:t xml:space="preserve">3.4 ERP Write (Mock)</w:t>
      </w:r>
    </w:p>
    <w:p>
      <w:pPr>
        <w:pStyle w:val="ListParagraph"/>
        <w:numPr>
          <w:ilvl w:val="0"/>
          <w:numId w:val="2"/>
        </w:numPr>
      </w:pPr>
      <w:r>
        <w:t xml:space="preserve">FastAPI endpoint accepting confirmed coding payload</w:t>
      </w:r>
    </w:p>
    <w:p>
      <w:pPr>
        <w:pStyle w:val="ListParagraph"/>
        <w:numPr>
          <w:ilvl w:val="0"/>
          <w:numId w:val="2"/>
        </w:numPr>
      </w:pPr>
      <w:r>
        <w:t xml:space="preserve">SQLite ledger storing every posted invoice</w:t>
      </w:r>
    </w:p>
    <w:p>
      <w:pPr>
        <w:pStyle w:val="ListParagraph"/>
        <w:numPr>
          <w:ilvl w:val="0"/>
          <w:numId w:val="2"/>
        </w:numPr>
      </w:pPr>
      <w:r>
        <w:t xml:space="preserve">Visible in Streamlit as a live Posted Invoices feed</w:t>
      </w:r>
    </w:p>
    <w:p/>
    <w:p>
      <w:pPr>
        <w:pStyle w:val="Heading2"/>
      </w:pPr>
      <w:r>
        <w:t xml:space="preserve">3.5 Google Sheets Mirror</w:t>
      </w:r>
    </w:p>
    <w:p>
      <w:pPr>
        <w:pStyle w:val="ListParagraph"/>
        <w:numPr>
          <w:ilvl w:val="0"/>
          <w:numId w:val="2"/>
        </w:numPr>
      </w:pPr>
      <w:r>
        <w:t xml:space="preserve">Every confirmed coding also posted to a Google Sheet via Sheets API</w:t>
      </w:r>
    </w:p>
    <w:p>
      <w:pPr>
        <w:pStyle w:val="ListParagraph"/>
        <w:numPr>
          <w:ilvl w:val="0"/>
          <w:numId w:val="2"/>
        </w:numPr>
      </w:pPr>
      <w:r>
        <w:t xml:space="preserve">Real-time population during demo — stakeholders see invoices landing live</w:t>
      </w:r>
    </w:p>
    <w:p>
      <w:pPr>
        <w:pStyle w:val="ListParagraph"/>
        <w:numPr>
          <w:ilvl w:val="0"/>
          <w:numId w:val="2"/>
        </w:numPr>
      </w:pPr>
      <w:r>
        <w:t xml:space="preserve">Service account authentication; no manual steps during demo</w:t>
      </w:r>
    </w:p>
    <w:p/>
    <w:p>
      <w:pPr>
        <w:pStyle w:val="Heading2"/>
      </w:pPr>
      <w:r>
        <w:t xml:space="preserve">3.6 Write-Back Loop</w:t>
      </w:r>
    </w:p>
    <w:p>
      <w:pPr>
        <w:pStyle w:val="ListParagraph"/>
        <w:numPr>
          <w:ilvl w:val="0"/>
          <w:numId w:val="2"/>
        </w:numPr>
      </w:pPr>
      <w:r>
        <w:t xml:space="preserve">Every confirmed outcome (auto or human) upserted into Qdrant with full metadata</w:t>
      </w:r>
    </w:p>
    <w:p>
      <w:pPr>
        <w:pStyle w:val="ListParagraph"/>
        <w:numPr>
          <w:ilvl w:val="0"/>
          <w:numId w:val="2"/>
        </w:numPr>
      </w:pPr>
      <w:r>
        <w:t xml:space="preserve">Corpus grows across the batch; retrieval quality improves over time</w:t>
      </w:r>
    </w:p>
    <w:p/>
    <w:p>
      <w:pPr>
        <w:pStyle w:val="Heading2"/>
      </w:pPr>
      <w:r>
        <w:t xml:space="preserve">3.7 Audit Trail</w:t>
      </w:r>
    </w:p>
    <w:p>
      <w:pPr>
        <w:pStyle w:val="ListParagraph"/>
        <w:numPr>
          <w:ilvl w:val="0"/>
          <w:numId w:val="2"/>
        </w:numPr>
      </w:pPr>
      <w:r>
        <w:t xml:space="preserve">Full provenance JSON per prediction stored in SQLite</w:t>
      </w:r>
    </w:p>
    <w:p>
      <w:pPr>
        <w:pStyle w:val="ListParagraph"/>
        <w:numPr>
          <w:ilvl w:val="0"/>
          <w:numId w:val="2"/>
        </w:numPr>
      </w:pPr>
      <w:r>
        <w:t xml:space="preserve">Visible per-invoice in the Streamlit UI</w:t>
      </w:r>
    </w:p>
    <w:p/>
    <w:p>
      <w:pPr>
        <w:pStyle w:val="Heading2"/>
      </w:pPr>
      <w:r>
        <w:t xml:space="preserve">3.8 Streamlit UI</w:t>
      </w:r>
    </w:p>
    <w:p>
      <w:pPr>
        <w:pStyle w:val="ListParagraph"/>
        <w:numPr>
          <w:ilvl w:val="0"/>
          <w:numId w:val="2"/>
        </w:numPr>
      </w:pPr>
      <w:r>
        <w:t xml:space="preserve">Invoice submission (form + CSV batch upload)</w:t>
      </w:r>
    </w:p>
    <w:p>
      <w:pPr>
        <w:pStyle w:val="ListParagraph"/>
        <w:numPr>
          <w:ilvl w:val="0"/>
          <w:numId w:val="2"/>
        </w:numPr>
      </w:pPr>
      <w:r>
        <w:t xml:space="preserve">Prediction display: GL code, confidence score, top-3 retrieved evidence lines, provenance JSON</w:t>
      </w:r>
    </w:p>
    <w:p>
      <w:pPr>
        <w:pStyle w:val="ListParagraph"/>
        <w:numPr>
          <w:ilvl w:val="0"/>
          <w:numId w:val="2"/>
        </w:numPr>
      </w:pPr>
      <w:r>
        <w:t xml:space="preserve">Confirm / correct controls (triggers ERP write + write-back)</w:t>
      </w:r>
    </w:p>
    <w:p>
      <w:pPr>
        <w:pStyle w:val="ListParagraph"/>
        <w:numPr>
          <w:ilvl w:val="0"/>
          <w:numId w:val="2"/>
        </w:numPr>
      </w:pPr>
      <w:r>
        <w:t xml:space="preserve">Automation rate chart: before vs after across the 1,000-invoice batch</w:t>
      </w:r>
    </w:p>
    <w:p>
      <w:pPr>
        <w:pStyle w:val="ListParagraph"/>
        <w:numPr>
          <w:ilvl w:val="0"/>
          <w:numId w:val="2"/>
        </w:numPr>
      </w:pPr>
      <w:r>
        <w:t xml:space="preserve">Posted Invoices feed (from SQLite ledger)</w:t>
      </w:r>
    </w:p>
    <w:p>
      <w:pPr>
        <w:pStyle w:val="ListParagraph"/>
        <w:numPr>
          <w:ilvl w:val="0"/>
          <w:numId w:val="2"/>
        </w:numPr>
      </w:pPr>
      <w:r>
        <w:t xml:space="preserve">Hosted publicly on Streamlit Community Cloud</w:t>
      </w:r>
    </w:p>
    <w:p/>
    <w:p>
      <w:pPr>
        <w:pStyle w:val="Heading1"/>
      </w:pPr>
      <w:r>
        <w:t xml:space="preserve">4. What Is Explicitly Out of Scope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</w:tblGrid>
      <w:tr>
        <w:trPr>
          <w:tblHeader/>
        </w:trPr>
        <w:tc>
          <w:tcPr>
            <w:tcW w:type="pct" w:w="1250"/>
            <w:shd w:color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pct" w:w="1250"/>
            <w:shd w:color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Reason</w:t>
            </w:r>
          </w:p>
        </w:tc>
        <w:tc>
          <w:tcPr>
            <w:tcW w:type="pct" w:w="1250"/>
            <w:shd w:color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When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reasoning over ambiguous invoices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Introduces a second variable; retrieval must be proven first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2+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orchestration (LangGraph)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POC uses confidence threshold, not tool-calling loop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2+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Conversational rule submission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NL parsing and rule storage layer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tenant for POC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3+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Drift detection and alerting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production data patterns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Shadow mode comparison job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live deterministic engine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ERP integration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FastAPI endpoint sufficient to prove the write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2+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caching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needed at POC scale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2+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Cohere reranking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re-ranking sufficient for POC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</w:tbl>
    <w:p/>
    <w:p>
      <w:pPr>
        <w:pStyle w:val="Heading1"/>
      </w:pPr>
      <w:r>
        <w:t xml:space="preserve">5. Demo Script (Streamlit Walkthrough)</w:t>
      </w:r>
    </w:p>
    <w:p/>
    <w:p>
      <w:pPr>
        <w:pStyle w:val="Heading2"/>
      </w:pPr>
      <w:r>
        <w:t xml:space="preserve">Step 1: Show the cold store</w:t>
      </w:r>
    </w:p>
    <w:p>
      <w:r>
        <w:t xml:space="preserve">Open the app. Corpus seeded with a small number of historical lines. Automation rate shown as baseline (expected ~68–70%).</w:t>
      </w:r>
    </w:p>
    <w:p/>
    <w:p>
      <w:pPr>
        <w:pStyle w:val="Heading2"/>
      </w:pPr>
      <w:r>
        <w:t xml:space="preserve">Step 2: Submit a routine invoice</w:t>
      </w:r>
    </w:p>
    <w:p>
      <w:r>
        <w:t xml:space="preserve">Known vendor, clean description, typical amount. System retrieves top-3 evidence lines, shows high confidence, routes to auto-post. ERP mock receives payload — Posted Invoices feed updates. Google Sheet populates in real time.</w:t>
      </w:r>
    </w:p>
    <w:p/>
    <w:p>
      <w:pPr>
        <w:pStyle w:val="Heading2"/>
      </w:pPr>
      <w:r>
        <w:t xml:space="preserve">Step 3: Submit a near-edge invoice</w:t>
      </w:r>
    </w:p>
    <w:p>
      <w:r>
        <w:t xml:space="preserve">New vendor in a known category. Fewer retrieved lines, lower confidence. System routes to human review. Presenter confirms the prediction. Write-back fires. Provenance JSON shown.</w:t>
      </w:r>
    </w:p>
    <w:p/>
    <w:p>
      <w:pPr>
        <w:pStyle w:val="Heading2"/>
      </w:pPr>
      <w:r>
        <w:t xml:space="preserve">Step 4: Submit a hard-edge invoice</w:t>
      </w:r>
    </w:p>
    <w:p>
      <w:r>
        <w:t xml:space="preserve">Genuinely novel vendor, no history. Fewer than 3 lines retrieved — sparse retrieval gate fires, routes to review regardless of confidence. Demonstrates governance is architectural, not optional.</w:t>
      </w:r>
    </w:p>
    <w:p/>
    <w:p>
      <w:pPr>
        <w:pStyle w:val="Heading2"/>
      </w:pPr>
      <w:r>
        <w:t xml:space="preserve">Step 5: Run the full 1,000-invoice batch</w:t>
      </w:r>
    </w:p>
    <w:p>
      <w:r>
        <w:t xml:space="preserve">Upload the CSV. Batch processes. Automation rate chart updates across batches of 100. Rate climbs from ~70% to ~85% as write-back compounds. This is the no PS bottleneck proof.</w:t>
      </w:r>
    </w:p>
    <w:p/>
    <w:p>
      <w:pPr>
        <w:pStyle w:val="Heading2"/>
      </w:pPr>
      <w:r>
        <w:t xml:space="preserve">Step 6: Show the audit trail</w:t>
      </w:r>
    </w:p>
    <w:p>
      <w:r>
        <w:t xml:space="preserve">Click any invoice in the Posted Invoices feed. Full provenance JSON: which lines were retrieved, similarity scores, confidence, routing decision, confirming user, timestamp.</w:t>
      </w:r>
    </w:p>
    <w:p/>
    <w:p>
      <w:pPr>
        <w:pStyle w:val="Heading2"/>
      </w:pPr>
      <w:r>
        <w:t xml:space="preserve">Step 7: Show the Google Sheet</w:t>
      </w:r>
    </w:p>
    <w:p>
      <w:r>
        <w:t xml:space="preserve">Switch to the browser tab with the Sheet open. Every posted invoice is there, live. Demonstrates the ERP write path without needing a real finance system.</w:t>
      </w:r>
    </w:p>
    <w:p/>
    <w:p>
      <w:pPr>
        <w:pStyle w:val="Heading1"/>
      </w:pPr>
      <w:r>
        <w:t xml:space="preserve">6. Success Criteria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</w:tblGrid>
      <w:tr>
        <w:trPr>
          <w:tblHeader/>
        </w:trPr>
        <w:tc>
          <w:tcPr>
            <w:tcW w:type="pct" w:w="1250"/>
            <w:shd w:color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pct" w:w="1250"/>
            <w:shd w:color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Routine invoice accuracy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≥90%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Near-edge accuracy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≥75%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 rate (batch start)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≥70% STP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 rate (batch end)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≥85% STP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High-confidence predictions correct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≥95%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Low-confidence routed to review still correct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≥60%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latency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&lt;100ms per invoice</w:t>
            </w:r>
          </w:p>
        </w:tc>
      </w:tr>
      <w:tr>
        <w:trPr>
          <w:tblHeader w:val="off"/>
        </w:trPr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Top-3 lines contain correct GL code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≥85%</w:t>
            </w:r>
          </w:p>
        </w:tc>
      </w:tr>
    </w:tbl>
    <w:p/>
    <w:p>
      <w:pPr>
        <w:pStyle w:val="Heading1"/>
      </w:pPr>
      <w:r>
        <w:t xml:space="preserve">7. Key Deferral: LLM Reasoning Over Ambiguous Invoices</w:t>
      </w:r>
    </w:p>
    <w:p>
      <w:r>
        <w:t xml:space="preserve">The agentic tool-calling layer — where an LLM reasons over retrieved evidence, conversational rules, and vendor profile data to synthesise a recommendation for genuinely ambiguous invoices — is architecturally designed and documented but </w:t>
      </w:r>
      <w:r>
        <w:rPr>
          <w:b/>
          <w:bCs/>
        </w:rPr>
        <w:t xml:space="preserve">deliberately excluded from the POC.</w:t>
      </w:r>
    </w:p>
    <w:p/>
    <w:p>
      <w:r>
        <w:t xml:space="preserve">Reason: the POC must prove the retrieval and confidence mechanism in isolation. Introducing LLM reasoning adds a second variable. If accuracy is poor, you cannot determine whether retrieval or reasoning is at fault. The correct sequence is: prove retrieval → prove confidence gate → add reasoning on top of a solid foundation.</w:t>
      </w:r>
    </w:p>
    <w:p/>
    <w:p>
      <w:r>
        <w:t xml:space="preserve">The architecture for this layer is already defined and will be implemented in Phase 2.</w:t>
      </w:r>
    </w:p>
    <w:p/>
    <w:p>
      <w:pPr>
        <w:pStyle w:val="Heading1"/>
      </w:pPr>
      <w:r>
        <w:t xml:space="preserve">8. Stack Summary (POC Only)</w:t>
      </w:r>
    </w:p>
    <w:p>
      <w:pPr>
        <w:pStyle w:val="ListParagraph"/>
        <w:numPr>
          <w:ilvl w:val="0"/>
          <w:numId w:val="2"/>
        </w:numPr>
      </w:pPr>
      <w:r>
        <w:t xml:space="preserve">Python + Jupyter notebook — pipeline proof</w:t>
      </w:r>
    </w:p>
    <w:p>
      <w:pPr>
        <w:pStyle w:val="ListParagraph"/>
        <w:numPr>
          <w:ilvl w:val="0"/>
          <w:numId w:val="2"/>
        </w:numPr>
      </w:pPr>
      <w:r>
        <w:t xml:space="preserve">Qdrant (Docker local) — vector store</w:t>
      </w:r>
    </w:p>
    <w:p>
      <w:pPr>
        <w:pStyle w:val="ListParagraph"/>
        <w:numPr>
          <w:ilvl w:val="0"/>
          <w:numId w:val="2"/>
        </w:numPr>
      </w:pPr>
      <w:r>
        <w:t xml:space="preserve">text-embedding-3-small (OpenAI) — embeddings</w:t>
      </w:r>
    </w:p>
    <w:p>
      <w:pPr>
        <w:pStyle w:val="ListParagraph"/>
        <w:numPr>
          <w:ilvl w:val="0"/>
          <w:numId w:val="2"/>
        </w:numPr>
      </w:pPr>
      <w:r>
        <w:t xml:space="preserve">FastAPI — mock ERP endpoint</w:t>
      </w:r>
    </w:p>
    <w:p>
      <w:pPr>
        <w:pStyle w:val="ListParagraph"/>
        <w:numPr>
          <w:ilvl w:val="0"/>
          <w:numId w:val="2"/>
        </w:numPr>
      </w:pPr>
      <w:r>
        <w:t xml:space="preserve">SQLite — invoice ledger and audit trail</w:t>
      </w:r>
    </w:p>
    <w:p>
      <w:pPr>
        <w:pStyle w:val="ListParagraph"/>
        <w:numPr>
          <w:ilvl w:val="0"/>
          <w:numId w:val="2"/>
        </w:numPr>
      </w:pPr>
      <w:r>
        <w:t xml:space="preserve">Google Sheets API — live ERP write mirror</w:t>
      </w:r>
    </w:p>
    <w:p>
      <w:pPr>
        <w:pStyle w:val="ListParagraph"/>
        <w:numPr>
          <w:ilvl w:val="0"/>
          <w:numId w:val="2"/>
        </w:numPr>
      </w:pPr>
      <w:r>
        <w:t xml:space="preserve">Streamlit — UI (hosted on Streamlit Community Cloud)</w:t>
      </w:r>
    </w:p>
    <w:p>
      <w:pPr>
        <w:pStyle w:val="ListParagraph"/>
        <w:numPr>
          <w:ilvl w:val="0"/>
          <w:numId w:val="2"/>
        </w:numPr>
      </w:pPr>
      <w:r>
        <w:t xml:space="preserve">GitHub: 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2026-09-29T07:47:44.813Z</dcterms:created>
  <dcterms:modified xsi:type="dcterms:W3CDTF">2026-09-29T07:47:44.821Z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