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F4163" w14:textId="77777777" w:rsidR="003E144F" w:rsidRPr="003E144F" w:rsidRDefault="003E144F" w:rsidP="003E144F">
      <w:pPr>
        <w:rPr>
          <w:b/>
          <w:bCs/>
        </w:rPr>
      </w:pPr>
      <w:r w:rsidRPr="003E144F">
        <w:rPr>
          <w:b/>
          <w:bCs/>
        </w:rPr>
        <w:t>Homeowners Insurance Filing Categories and Approval Processes</w:t>
      </w:r>
    </w:p>
    <w:p w14:paraId="5D3C57D1" w14:textId="77777777" w:rsidR="003E144F" w:rsidRPr="003E144F" w:rsidRDefault="003E144F" w:rsidP="003E144F">
      <w:pPr>
        <w:rPr>
          <w:b/>
          <w:bCs/>
        </w:rPr>
      </w:pPr>
      <w:r w:rsidRPr="003E144F">
        <w:rPr>
          <w:b/>
          <w:bCs/>
        </w:rPr>
        <w:t>Primary Filing Categories</w:t>
      </w:r>
    </w:p>
    <w:p w14:paraId="6F01D9A5" w14:textId="77777777" w:rsidR="003E144F" w:rsidRPr="003E144F" w:rsidRDefault="003E144F" w:rsidP="003E144F">
      <w:r w:rsidRPr="003E144F">
        <w:rPr>
          <w:b/>
          <w:bCs/>
        </w:rPr>
        <w:t>Rate Filings:</w:t>
      </w:r>
      <w:r w:rsidRPr="003E144F">
        <w:t xml:space="preserve"> Rate filings are submissions that propose changes to the </w:t>
      </w:r>
      <w:r w:rsidRPr="003E144F">
        <w:rPr>
          <w:b/>
          <w:bCs/>
        </w:rPr>
        <w:t>rates or rating factors</w:t>
      </w:r>
      <w:r w:rsidRPr="003E144F">
        <w:t xml:space="preserve"> an insurer uses to calculate premiums</w:t>
      </w:r>
      <w:r w:rsidRPr="003E144F">
        <w:rPr>
          <w:rFonts w:ascii="Arial" w:hAnsi="Arial" w:cs="Arial"/>
        </w:rPr>
        <w:t>​</w:t>
      </w:r>
    </w:p>
    <w:p w14:paraId="35077E49" w14:textId="77777777" w:rsidR="003E144F" w:rsidRPr="003E144F" w:rsidRDefault="003E144F" w:rsidP="003E144F">
      <w:hyperlink r:id="rId5" w:anchor=":~:text=,insurance%20premiums%20charged%20to%20customers" w:tgtFrame="_blank" w:history="1">
        <w:r w:rsidRPr="003E144F">
          <w:rPr>
            <w:rStyle w:val="Hyperlink"/>
          </w:rPr>
          <w:t>difi.az.gov</w:t>
        </w:r>
      </w:hyperlink>
    </w:p>
    <w:p w14:paraId="7B848D5C" w14:textId="77777777" w:rsidR="003E144F" w:rsidRPr="003E144F" w:rsidRDefault="003E144F" w:rsidP="003E144F">
      <w:r w:rsidRPr="003E144F">
        <w:t>. These filings typically include actuarial justifications, such as loss experience data and expense projections, supporting any rate increases, decreases, or new rating factors. Regulators review rate filings to ensure the proposed rates are not “excessive, inadequate, or unfairly discriminatory,” as required by law</w:t>
      </w:r>
      <w:r w:rsidRPr="003E144F">
        <w:rPr>
          <w:rFonts w:ascii="Arial" w:hAnsi="Arial" w:cs="Arial"/>
        </w:rPr>
        <w:t>​</w:t>
      </w:r>
    </w:p>
    <w:p w14:paraId="272FF045" w14:textId="77777777" w:rsidR="003E144F" w:rsidRPr="003E144F" w:rsidRDefault="003E144F" w:rsidP="003E144F">
      <w:hyperlink r:id="rId6" w:anchor=":~:text=,request%20additional%20information%20as%20deemed" w:tgtFrame="_blank" w:history="1">
        <w:r w:rsidRPr="003E144F">
          <w:rPr>
            <w:rStyle w:val="Hyperlink"/>
          </w:rPr>
          <w:t>texreg.sos.state.tx.us</w:t>
        </w:r>
      </w:hyperlink>
    </w:p>
    <w:p w14:paraId="752145A1" w14:textId="77777777" w:rsidR="003E144F" w:rsidRPr="003E144F" w:rsidRDefault="003E144F" w:rsidP="003E144F">
      <w:r w:rsidRPr="003E144F">
        <w:t xml:space="preserve">. </w:t>
      </w:r>
      <w:r w:rsidRPr="003E144F">
        <w:rPr>
          <w:b/>
          <w:bCs/>
        </w:rPr>
        <w:t>Example (when required):</w:t>
      </w:r>
      <w:r w:rsidRPr="003E144F">
        <w:t xml:space="preserve"> If an insurer wants to </w:t>
      </w:r>
      <w:r w:rsidRPr="003E144F">
        <w:rPr>
          <w:b/>
          <w:bCs/>
        </w:rPr>
        <w:t>adjust its homeowners insurance base premiums or introduce a new rating factor</w:t>
      </w:r>
      <w:r w:rsidRPr="003E144F">
        <w:t xml:space="preserve"> (e.g. a new roof-age discount or a wind mitigation surcharge), it must submit a rate filing because this change directly impacts the premium charged to policyholders. </w:t>
      </w:r>
      <w:r w:rsidRPr="003E144F">
        <w:rPr>
          <w:b/>
          <w:bCs/>
        </w:rPr>
        <w:t>Counter-example (when not required):</w:t>
      </w:r>
      <w:r w:rsidRPr="003E144F">
        <w:t xml:space="preserve"> If the insurer is only correcting a typo in the rating manual or updating an internal guideline </w:t>
      </w:r>
      <w:r w:rsidRPr="003E144F">
        <w:rPr>
          <w:b/>
          <w:bCs/>
        </w:rPr>
        <w:t>without changing any price or rating factor</w:t>
      </w:r>
      <w:r w:rsidRPr="003E144F">
        <w:t>, a rate filing would not be appropriate – since there is no impact on calculated premiums, the insurer might handle it via a rule filing or no filing at all if it’s truly non-substantive.</w:t>
      </w:r>
    </w:p>
    <w:p w14:paraId="18792508" w14:textId="77777777" w:rsidR="003E144F" w:rsidRPr="003E144F" w:rsidRDefault="003E144F" w:rsidP="003E144F">
      <w:r w:rsidRPr="003E144F">
        <w:rPr>
          <w:b/>
          <w:bCs/>
        </w:rPr>
        <w:t>Rule Filings:</w:t>
      </w:r>
      <w:r w:rsidRPr="003E144F">
        <w:t xml:space="preserve"> Rule filings contain an insurer’s </w:t>
      </w:r>
      <w:r w:rsidRPr="003E144F">
        <w:rPr>
          <w:b/>
          <w:bCs/>
        </w:rPr>
        <w:t>rating rules and underwriting guidelines</w:t>
      </w:r>
      <w:r w:rsidRPr="003E144F">
        <w:t xml:space="preserve"> – essentially the logic for how rates are applied or how risks are categorized</w:t>
      </w:r>
      <w:r w:rsidRPr="003E144F">
        <w:rPr>
          <w:rFonts w:ascii="Arial" w:hAnsi="Arial" w:cs="Arial"/>
        </w:rPr>
        <w:t>​</w:t>
      </w:r>
    </w:p>
    <w:p w14:paraId="7A8E5AFA" w14:textId="77777777" w:rsidR="003E144F" w:rsidRPr="003E144F" w:rsidRDefault="003E144F" w:rsidP="003E144F">
      <w:hyperlink r:id="rId7" w:anchor=":~:text=,rated%20and%20the%20premium%20charged" w:tgtFrame="_blank" w:history="1">
        <w:r w:rsidRPr="003E144F">
          <w:rPr>
            <w:rStyle w:val="Hyperlink"/>
          </w:rPr>
          <w:t>difi.az.gov</w:t>
        </w:r>
      </w:hyperlink>
    </w:p>
    <w:p w14:paraId="42451611" w14:textId="77777777" w:rsidR="003E144F" w:rsidRPr="003E144F" w:rsidRDefault="003E144F" w:rsidP="003E144F">
      <w:r w:rsidRPr="003E144F">
        <w:t xml:space="preserve">. Unlike pure rate filings, rule filings often do not change the overall rate level but </w:t>
      </w:r>
      <w:r w:rsidRPr="003E144F">
        <w:rPr>
          <w:b/>
          <w:bCs/>
        </w:rPr>
        <w:t>define how the rating plan operates</w:t>
      </w:r>
      <w:r w:rsidRPr="003E144F">
        <w:t xml:space="preserve"> (e.g. defining tiers, surcharges, discounts, or eligibility criteria). Rule changes can include things like revising territory definitions, modifying how a claims history affects premium, or clarifying the application of deductibles. They differ from rate changes in that they alter </w:t>
      </w:r>
      <w:r w:rsidRPr="003E144F">
        <w:rPr>
          <w:b/>
          <w:bCs/>
        </w:rPr>
        <w:t>how premiums are determined rather than the numeric rate values</w:t>
      </w:r>
      <w:r w:rsidRPr="003E144F">
        <w:t xml:space="preserve">. </w:t>
      </w:r>
      <w:r w:rsidRPr="003E144F">
        <w:rPr>
          <w:b/>
          <w:bCs/>
        </w:rPr>
        <w:t>Example (when required):</w:t>
      </w:r>
      <w:r w:rsidRPr="003E144F">
        <w:t xml:space="preserve"> If an insurer wants to </w:t>
      </w:r>
      <w:r w:rsidRPr="003E144F">
        <w:rPr>
          <w:b/>
          <w:bCs/>
        </w:rPr>
        <w:t>change its underwriting/rating rules</w:t>
      </w:r>
      <w:r w:rsidRPr="003E144F">
        <w:t xml:space="preserve"> – for instance, altering the criteria for placing a homeowner in a preferred tier, or changing the guideline so that homes with older wiring are subject to a certain surcharge – it would file a rule change. This is a rule filing because it adjusts the procedure for determining the premium or eligibility (and may indirectly affect some premiums) without simply altering a base rate. </w:t>
      </w:r>
      <w:r w:rsidRPr="003E144F">
        <w:rPr>
          <w:b/>
          <w:bCs/>
        </w:rPr>
        <w:t>Counter-example (when not appropriate):</w:t>
      </w:r>
      <w:r w:rsidRPr="003E144F">
        <w:t xml:space="preserve"> If the insurer instead needs to change the dollar amount of a surcharge or discount percentage, that is a change in a rating factor (a rate change), not just a rule change. </w:t>
      </w:r>
      <w:r w:rsidRPr="003E144F">
        <w:lastRenderedPageBreak/>
        <w:t>Likewise, attempting to use a rule filing to revise actual policy coverage or contract terms would be inappropriate – such changes belong in a form filing.</w:t>
      </w:r>
    </w:p>
    <w:p w14:paraId="6F6C5DB8" w14:textId="77777777" w:rsidR="003E144F" w:rsidRPr="003E144F" w:rsidRDefault="003E144F" w:rsidP="003E144F">
      <w:r w:rsidRPr="003E144F">
        <w:rPr>
          <w:b/>
          <w:bCs/>
        </w:rPr>
        <w:t>Form Filings:</w:t>
      </w:r>
      <w:r w:rsidRPr="003E144F">
        <w:t xml:space="preserve"> Form filings are submissions of </w:t>
      </w:r>
      <w:r w:rsidRPr="003E144F">
        <w:rPr>
          <w:b/>
          <w:bCs/>
        </w:rPr>
        <w:t>insurance policy forms, endorsements, and related contract language</w:t>
      </w:r>
      <w:r w:rsidRPr="003E144F">
        <w:rPr>
          <w:rFonts w:ascii="Arial" w:hAnsi="Arial" w:cs="Arial"/>
        </w:rPr>
        <w:t>​</w:t>
      </w:r>
    </w:p>
    <w:p w14:paraId="2B5449FD" w14:textId="77777777" w:rsidR="003E144F" w:rsidRPr="003E144F" w:rsidRDefault="003E144F" w:rsidP="003E144F">
      <w:hyperlink r:id="rId8" w:anchor=":~:text=,issued%20to%20a%20buying%20customer" w:tgtFrame="_blank" w:history="1">
        <w:r w:rsidRPr="003E144F">
          <w:rPr>
            <w:rStyle w:val="Hyperlink"/>
          </w:rPr>
          <w:t>difi.az.gov</w:t>
        </w:r>
      </w:hyperlink>
    </w:p>
    <w:p w14:paraId="5BA74959" w14:textId="77777777" w:rsidR="003E144F" w:rsidRPr="003E144F" w:rsidRDefault="003E144F" w:rsidP="003E144F">
      <w:r w:rsidRPr="003E144F">
        <w:t xml:space="preserve">. These filings cover the content of the insurance contract – what is covered or excluded, definitions, conditions, etc. – rather than how it is priced. Form filings are reviewed to ensure the policy language complies with state laws (for example, meeting any required coverage standards, consumer notices, or readability criteria). They differ from rate and rule filings in that they address </w:t>
      </w:r>
      <w:r w:rsidRPr="003E144F">
        <w:rPr>
          <w:b/>
          <w:bCs/>
        </w:rPr>
        <w:t>legal wording and coverage terms</w:t>
      </w:r>
      <w:r w:rsidRPr="003E144F">
        <w:t xml:space="preserve"> rather than pricing. </w:t>
      </w:r>
      <w:r w:rsidRPr="003E144F">
        <w:rPr>
          <w:b/>
          <w:bCs/>
        </w:rPr>
        <w:t>Example (when required):</w:t>
      </w:r>
      <w:r w:rsidRPr="003E144F">
        <w:t xml:space="preserve"> If an insurer wants to </w:t>
      </w:r>
      <w:r w:rsidRPr="003E144F">
        <w:rPr>
          <w:b/>
          <w:bCs/>
        </w:rPr>
        <w:t>introduce a new homeowners policy form or endorsement</w:t>
      </w:r>
      <w:r w:rsidRPr="003E144F">
        <w:t xml:space="preserve"> – say, a new endorsement clarifying water damage coverage or an exclusion for certain risks – it must submit a form filing. The DOI will review the proposed form language for compliance (e.g. no prohibited clauses, proper disclosure to consumers, etc.). </w:t>
      </w:r>
      <w:r w:rsidRPr="003E144F">
        <w:rPr>
          <w:b/>
          <w:bCs/>
        </w:rPr>
        <w:t>Counter-example (when not appropriate):</w:t>
      </w:r>
      <w:r w:rsidRPr="003E144F">
        <w:t xml:space="preserve"> If there is </w:t>
      </w:r>
      <w:r w:rsidRPr="003E144F">
        <w:rPr>
          <w:b/>
          <w:bCs/>
        </w:rPr>
        <w:t>no change to the contract language</w:t>
      </w:r>
      <w:r w:rsidRPr="003E144F">
        <w:t xml:space="preserve"> – for instance, the insurer is only changing rates or rating rules while keeping the same approved forms – a form filing is not needed. In fact, many states prohibit mixing form changes with rate/rule changes in the same submission, to keep pricing and contract reviews separate</w:t>
      </w:r>
      <w:r w:rsidRPr="003E144F">
        <w:rPr>
          <w:rFonts w:ascii="Arial" w:hAnsi="Arial" w:cs="Arial"/>
        </w:rPr>
        <w:t>​</w:t>
      </w:r>
    </w:p>
    <w:p w14:paraId="3BB5BE63" w14:textId="77777777" w:rsidR="003E144F" w:rsidRPr="003E144F" w:rsidRDefault="003E144F" w:rsidP="003E144F">
      <w:hyperlink r:id="rId9" w:anchor=":~:text=,Licensed" w:tgtFrame="_blank" w:history="1">
        <w:r w:rsidRPr="003E144F">
          <w:rPr>
            <w:rStyle w:val="Hyperlink"/>
          </w:rPr>
          <w:t>insurance.wa.gov</w:t>
        </w:r>
      </w:hyperlink>
    </w:p>
    <w:p w14:paraId="4655BAC0" w14:textId="77777777" w:rsidR="003E144F" w:rsidRPr="003E144F" w:rsidRDefault="003E144F" w:rsidP="003E144F">
      <w:r w:rsidRPr="003E144F">
        <w:t>.</w:t>
      </w:r>
    </w:p>
    <w:p w14:paraId="61EA28F8" w14:textId="77777777" w:rsidR="003E144F" w:rsidRPr="003E144F" w:rsidRDefault="003E144F" w:rsidP="003E144F">
      <w:pPr>
        <w:rPr>
          <w:b/>
          <w:bCs/>
        </w:rPr>
      </w:pPr>
      <w:r w:rsidRPr="003E144F">
        <w:rPr>
          <w:b/>
          <w:bCs/>
        </w:rPr>
        <w:t>Less Common Filing Categories</w:t>
      </w:r>
    </w:p>
    <w:p w14:paraId="6F32AE66" w14:textId="77777777" w:rsidR="003E144F" w:rsidRPr="003E144F" w:rsidRDefault="003E144F" w:rsidP="003E144F">
      <w:r w:rsidRPr="003E144F">
        <w:t xml:space="preserve">In addition to the primary categories above, insurers sometimes submit filings that </w:t>
      </w:r>
      <w:r w:rsidRPr="003E144F">
        <w:rPr>
          <w:b/>
          <w:bCs/>
        </w:rPr>
        <w:t>combine or fall outside</w:t>
      </w:r>
      <w:r w:rsidRPr="003E144F">
        <w:t xml:space="preserve"> standard categories. Industry practice and state systems (like SERFF) recognize several hybrid or special filing types</w:t>
      </w:r>
      <w:r w:rsidRPr="003E144F">
        <w:rPr>
          <w:rFonts w:ascii="Arial" w:hAnsi="Arial" w:cs="Arial"/>
        </w:rPr>
        <w:t>​</w:t>
      </w:r>
    </w:p>
    <w:p w14:paraId="06596603" w14:textId="77777777" w:rsidR="003E144F" w:rsidRPr="003E144F" w:rsidRDefault="003E144F" w:rsidP="003E144F">
      <w:hyperlink r:id="rId10" w:anchor=":~:text=Filing%20Actions%3A%20Form%20New%20Program,Rate%2FRule%2FForm%20Rate%20Rate%2FRule%2FForm%20Rule%20Withdrawal%2FSuspension" w:tgtFrame="_blank" w:history="1">
        <w:r w:rsidRPr="003E144F">
          <w:rPr>
            <w:rStyle w:val="Hyperlink"/>
          </w:rPr>
          <w:t>www3.ambest.com</w:t>
        </w:r>
      </w:hyperlink>
    </w:p>
    <w:p w14:paraId="2EAB2462" w14:textId="77777777" w:rsidR="003E144F" w:rsidRPr="003E144F" w:rsidRDefault="003E144F" w:rsidP="003E144F">
      <w:r w:rsidRPr="003E144F">
        <w:t>. Below are some less common categories and their typical use cases:</w:t>
      </w:r>
    </w:p>
    <w:p w14:paraId="769F8C47" w14:textId="77777777" w:rsidR="003E144F" w:rsidRPr="003E144F" w:rsidRDefault="003E144F" w:rsidP="003E144F">
      <w:pPr>
        <w:numPr>
          <w:ilvl w:val="0"/>
          <w:numId w:val="1"/>
        </w:numPr>
      </w:pPr>
      <w:r w:rsidRPr="003E144F">
        <w:rPr>
          <w:b/>
          <w:bCs/>
        </w:rPr>
        <w:t>Rate/Rule Filings:</w:t>
      </w:r>
      <w:r w:rsidRPr="003E144F">
        <w:t xml:space="preserve"> A combined filing that includes both rating changes and rule changes in one submission. Insurers often use a rate/rule filing when a proposal affects both the </w:t>
      </w:r>
      <w:r w:rsidRPr="003E144F">
        <w:rPr>
          <w:b/>
          <w:bCs/>
        </w:rPr>
        <w:t>pricing values and the rating algorithm</w:t>
      </w:r>
      <w:r w:rsidRPr="003E144F">
        <w:t xml:space="preserve">. For example, an insurer might file to </w:t>
      </w:r>
      <w:r w:rsidRPr="003E144F">
        <w:rPr>
          <w:b/>
          <w:bCs/>
        </w:rPr>
        <w:t>revise territorial base rates (rate change) and also update the underwriting criteria for those territories (rule change)</w:t>
      </w:r>
      <w:r w:rsidRPr="003E144F">
        <w:t xml:space="preserve"> at the same time. This combined filing addresses both aspects together for efficiency. Most states allow </w:t>
      </w:r>
      <w:r w:rsidRPr="003E144F">
        <w:lastRenderedPageBreak/>
        <w:t>rate and rule changes in one filing since rules and rates are closely related; however, form changes are usually kept separate</w:t>
      </w:r>
      <w:r w:rsidRPr="003E144F">
        <w:rPr>
          <w:rFonts w:ascii="Arial" w:hAnsi="Arial" w:cs="Arial"/>
        </w:rPr>
        <w:t>​</w:t>
      </w:r>
    </w:p>
    <w:p w14:paraId="61D58756" w14:textId="77777777" w:rsidR="003E144F" w:rsidRPr="003E144F" w:rsidRDefault="003E144F" w:rsidP="003E144F">
      <w:hyperlink r:id="rId11" w:anchor=":~:text=,Licensed" w:tgtFrame="_blank" w:history="1">
        <w:r w:rsidRPr="003E144F">
          <w:rPr>
            <w:rStyle w:val="Hyperlink"/>
          </w:rPr>
          <w:t>insurance.wa.gov</w:t>
        </w:r>
      </w:hyperlink>
    </w:p>
    <w:p w14:paraId="57B5DEB5" w14:textId="77777777" w:rsidR="003E144F" w:rsidRPr="003E144F" w:rsidRDefault="003E144F" w:rsidP="003E144F">
      <w:r w:rsidRPr="003E144F">
        <w:t xml:space="preserve">. (If only rates </w:t>
      </w:r>
      <w:r w:rsidRPr="003E144F">
        <w:rPr>
          <w:i/>
          <w:iCs/>
        </w:rPr>
        <w:t>or</w:t>
      </w:r>
      <w:r w:rsidRPr="003E144F">
        <w:t xml:space="preserve"> rules are changing, the insurer would stick to a pure rate filing or pure rule filing as appropriate.)</w:t>
      </w:r>
    </w:p>
    <w:p w14:paraId="772DB83E" w14:textId="77777777" w:rsidR="003E144F" w:rsidRPr="003E144F" w:rsidRDefault="003E144F" w:rsidP="003E144F">
      <w:pPr>
        <w:numPr>
          <w:ilvl w:val="0"/>
          <w:numId w:val="1"/>
        </w:numPr>
      </w:pPr>
      <w:r w:rsidRPr="003E144F">
        <w:rPr>
          <w:b/>
          <w:bCs/>
        </w:rPr>
        <w:t>Rate/Rule/Form Filings:</w:t>
      </w:r>
      <w:r w:rsidRPr="003E144F">
        <w:t xml:space="preserve"> A comprehensive filing that includes rates, rules, and forms in one package. This is typically seen when an insurer is </w:t>
      </w:r>
      <w:r w:rsidRPr="003E144F">
        <w:rPr>
          <w:b/>
          <w:bCs/>
        </w:rPr>
        <w:t>introducing a new insurance program or product</w:t>
      </w:r>
      <w:r w:rsidRPr="003E144F">
        <w:t xml:space="preserve"> from scratch. For instance, a company launching a </w:t>
      </w:r>
      <w:r w:rsidRPr="003E144F">
        <w:rPr>
          <w:b/>
          <w:bCs/>
        </w:rPr>
        <w:t>new homeowners program</w:t>
      </w:r>
      <w:r w:rsidRPr="003E144F">
        <w:t xml:space="preserve"> in a state might file all at once: the new policy forms, the rating plan (rates), and the rating rules. In some jurisdictions, these all-in-one submissions are accepted for expediency when reviewing a new program</w:t>
      </w:r>
      <w:r w:rsidRPr="003E144F">
        <w:rPr>
          <w:rFonts w:ascii="Arial" w:hAnsi="Arial" w:cs="Arial"/>
        </w:rPr>
        <w:t>​</w:t>
      </w:r>
    </w:p>
    <w:p w14:paraId="30021158" w14:textId="77777777" w:rsidR="003E144F" w:rsidRPr="003E144F" w:rsidRDefault="003E144F" w:rsidP="003E144F">
      <w:hyperlink r:id="rId12" w:anchor=":~:text=MARKEL%20AMERICAN%20INSURANCE%20COMPANY%20MRKB,Covered%20Event%20Coverage%20has%20a" w:tgtFrame="_blank" w:history="1">
        <w:r w:rsidRPr="003E144F">
          <w:rPr>
            <w:rStyle w:val="Hyperlink"/>
          </w:rPr>
          <w:t>apps.mid.ms.gov</w:t>
        </w:r>
      </w:hyperlink>
    </w:p>
    <w:p w14:paraId="5A602952" w14:textId="77777777" w:rsidR="003E144F" w:rsidRPr="003E144F" w:rsidRDefault="003E144F" w:rsidP="003E144F">
      <w:r w:rsidRPr="003E144F">
        <w:t xml:space="preserve">. </w:t>
      </w:r>
      <w:r w:rsidRPr="003E144F">
        <w:rPr>
          <w:i/>
          <w:iCs/>
        </w:rPr>
        <w:t>Use case:</w:t>
      </w:r>
      <w:r w:rsidRPr="003E144F">
        <w:t xml:space="preserve"> a new insurer entering the homeowners market might submit a rate/rule/form filing to get its entire product approved in one go. (It’s worth noting that some states will still require splitting forms from rates/rules, so in those states a “rate/rule/form” package would be broken into separate filings.)</w:t>
      </w:r>
    </w:p>
    <w:p w14:paraId="361E0C27" w14:textId="77777777" w:rsidR="003E144F" w:rsidRPr="003E144F" w:rsidRDefault="003E144F" w:rsidP="003E144F">
      <w:pPr>
        <w:numPr>
          <w:ilvl w:val="0"/>
          <w:numId w:val="1"/>
        </w:numPr>
      </w:pPr>
      <w:r w:rsidRPr="003E144F">
        <w:rPr>
          <w:b/>
          <w:bCs/>
        </w:rPr>
        <w:t>Loss Cost Adoption Filings:</w:t>
      </w:r>
      <w:r w:rsidRPr="003E144F">
        <w:t xml:space="preserve"> Often simply called </w:t>
      </w:r>
      <w:r w:rsidRPr="003E144F">
        <w:rPr>
          <w:b/>
          <w:bCs/>
        </w:rPr>
        <w:t>Loss Cost filings</w:t>
      </w:r>
      <w:r w:rsidRPr="003E144F">
        <w:t xml:space="preserve">, these apply when an insurer uses rates published by a rating bureau or advisory organization (like ISO) and needs to file its own adjustments. In a loss cost system, the bureau files expected loss costs and each insurer then files a </w:t>
      </w:r>
      <w:r w:rsidRPr="003E144F">
        <w:rPr>
          <w:b/>
          <w:bCs/>
        </w:rPr>
        <w:t>Loss Cost Multiplier (LCM)</w:t>
      </w:r>
      <w:r w:rsidRPr="003E144F">
        <w:t xml:space="preserve"> and any company-specific rating factors to develop final rates</w:t>
      </w:r>
      <w:r w:rsidRPr="003E144F">
        <w:rPr>
          <w:rFonts w:ascii="Arial" w:hAnsi="Arial" w:cs="Arial"/>
        </w:rPr>
        <w:t>​</w:t>
      </w:r>
    </w:p>
    <w:p w14:paraId="39C4F415" w14:textId="77777777" w:rsidR="003E144F" w:rsidRPr="003E144F" w:rsidRDefault="003E144F" w:rsidP="003E144F">
      <w:hyperlink r:id="rId13" w:anchor=":~:text=A%20rating%20system%20for%20property,costs%20to%20the%20insurer%E2%80%99s%20rates" w:tgtFrame="_blank" w:history="1">
        <w:r w:rsidRPr="003E144F">
          <w:rPr>
            <w:rStyle w:val="Hyperlink"/>
          </w:rPr>
          <w:t>content.naic.org</w:t>
        </w:r>
      </w:hyperlink>
    </w:p>
    <w:p w14:paraId="53D4A125" w14:textId="77777777" w:rsidR="003E144F" w:rsidRPr="003E144F" w:rsidRDefault="003E144F" w:rsidP="003E144F">
      <w:r w:rsidRPr="003E144F">
        <w:t xml:space="preserve">. An insurer’s loss cost filing usually consists of adopting the advisory loss costs (or revisions to them) and providing its LCM and expense provisions. </w:t>
      </w:r>
      <w:r w:rsidRPr="003E144F">
        <w:rPr>
          <w:i/>
          <w:iCs/>
        </w:rPr>
        <w:t>Use case:</w:t>
      </w:r>
      <w:r w:rsidRPr="003E144F">
        <w:t xml:space="preserve"> If ISO updates its homeowners loss costs, a company that uses ISO’s rates would submit a loss cost adoption filing to adopt the new figures, filing its calculated LCM so that the DOI can approve the resulting rate level. The insurer must also file any </w:t>
      </w:r>
      <w:r w:rsidRPr="003E144F">
        <w:rPr>
          <w:b/>
          <w:bCs/>
        </w:rPr>
        <w:t>deviations</w:t>
      </w:r>
      <w:r w:rsidRPr="003E144F">
        <w:t xml:space="preserve"> or company-specific values that the advisory filing left open (for example, a minimum premium or a different deductible factor)</w:t>
      </w:r>
      <w:r w:rsidRPr="003E144F">
        <w:rPr>
          <w:rFonts w:ascii="Arial" w:hAnsi="Arial" w:cs="Arial"/>
        </w:rPr>
        <w:t>​</w:t>
      </w:r>
    </w:p>
    <w:p w14:paraId="1F36E847" w14:textId="77777777" w:rsidR="003E144F" w:rsidRPr="003E144F" w:rsidRDefault="003E144F" w:rsidP="003E144F">
      <w:hyperlink r:id="rId14" w:anchor=":~:text=A%20rating%20system%20for%20property,costs%20to%20the%20insurer%E2%80%99s%20rates" w:tgtFrame="_blank" w:history="1">
        <w:r w:rsidRPr="003E144F">
          <w:rPr>
            <w:rStyle w:val="Hyperlink"/>
          </w:rPr>
          <w:t>content.naic.org</w:t>
        </w:r>
      </w:hyperlink>
    </w:p>
    <w:p w14:paraId="1879AB7C" w14:textId="77777777" w:rsidR="003E144F" w:rsidRPr="003E144F" w:rsidRDefault="003E144F" w:rsidP="003E144F">
      <w:r w:rsidRPr="003E144F">
        <w:t xml:space="preserve">. (If the company decides </w:t>
      </w:r>
      <w:r w:rsidRPr="003E144F">
        <w:rPr>
          <w:i/>
          <w:iCs/>
        </w:rPr>
        <w:t>not</w:t>
      </w:r>
      <w:r w:rsidRPr="003E144F">
        <w:t xml:space="preserve"> to adopt a particular loss cost change, some states require a “non-adoption” filing to inform the DOI as well.)</w:t>
      </w:r>
    </w:p>
    <w:p w14:paraId="0EB476A9" w14:textId="77777777" w:rsidR="003E144F" w:rsidRPr="003E144F" w:rsidRDefault="003E144F" w:rsidP="003E144F">
      <w:pPr>
        <w:numPr>
          <w:ilvl w:val="0"/>
          <w:numId w:val="1"/>
        </w:numPr>
      </w:pPr>
      <w:r w:rsidRPr="003E144F">
        <w:rPr>
          <w:b/>
          <w:bCs/>
        </w:rPr>
        <w:lastRenderedPageBreak/>
        <w:t>Model or “Other” Filings:</w:t>
      </w:r>
      <w:r w:rsidRPr="003E144F">
        <w:t xml:space="preserve"> This is a broad category for filings that don’t neatly fit the standard mold. “Model” filings often refer to those based on </w:t>
      </w:r>
      <w:r w:rsidRPr="003E144F">
        <w:rPr>
          <w:b/>
          <w:bCs/>
        </w:rPr>
        <w:t>model insurer programs or advisory organization filings</w:t>
      </w:r>
      <w:r w:rsidRPr="003E144F">
        <w:t xml:space="preserve">. For example, an insurer might file to </w:t>
      </w:r>
      <w:r w:rsidRPr="003E144F">
        <w:rPr>
          <w:b/>
          <w:bCs/>
        </w:rPr>
        <w:t>adopt a model policy form or endorsement</w:t>
      </w:r>
      <w:r w:rsidRPr="003E144F">
        <w:t xml:space="preserve"> developed by a trade association or the NAIC, or an insurer may reference an </w:t>
      </w:r>
      <w:r w:rsidRPr="003E144F">
        <w:rPr>
          <w:b/>
          <w:bCs/>
        </w:rPr>
        <w:t>advisory organization’s filing (model filing) for forms or rules</w:t>
      </w:r>
      <w:r w:rsidRPr="003E144F">
        <w:t xml:space="preserve"> instead of drafting its own</w:t>
      </w:r>
      <w:r w:rsidRPr="003E144F">
        <w:rPr>
          <w:rFonts w:ascii="Arial" w:hAnsi="Arial" w:cs="Arial"/>
        </w:rPr>
        <w:t>​</w:t>
      </w:r>
    </w:p>
    <w:p w14:paraId="3C38F73A" w14:textId="77777777" w:rsidR="003E144F" w:rsidRPr="003E144F" w:rsidRDefault="003E144F" w:rsidP="003E144F">
      <w:hyperlink r:id="rId15" w:anchor=":~:text=submits%20for%20your%20review%20and,not%20distribute%20either%20loss%20costs" w:tgtFrame="_blank" w:history="1">
        <w:r w:rsidRPr="003E144F">
          <w:rPr>
            <w:rStyle w:val="Hyperlink"/>
          </w:rPr>
          <w:t>apps.mid.ms.gov</w:t>
        </w:r>
      </w:hyperlink>
    </w:p>
    <w:p w14:paraId="707150FF" w14:textId="77777777" w:rsidR="003E144F" w:rsidRPr="003E144F" w:rsidRDefault="003E144F" w:rsidP="003E144F">
      <w:r w:rsidRPr="003E144F">
        <w:t xml:space="preserve">. These could be considered model filings. The “Other” label usually serves as a catch-all for unique submissions – for instance, an informational-only filing, a one-time </w:t>
      </w:r>
      <w:r w:rsidRPr="003E144F">
        <w:rPr>
          <w:b/>
          <w:bCs/>
        </w:rPr>
        <w:t>compliance certification</w:t>
      </w:r>
      <w:r w:rsidRPr="003E144F">
        <w:t xml:space="preserve">, or anything that the DOI’s system doesn’t classify under rate/rule/form. </w:t>
      </w:r>
      <w:r w:rsidRPr="003E144F">
        <w:rPr>
          <w:i/>
          <w:iCs/>
        </w:rPr>
        <w:t>Use case:</w:t>
      </w:r>
      <w:r w:rsidRPr="003E144F">
        <w:t xml:space="preserve"> If a state requires insurers to file a catastrophe model update or some new risk model for review (which isn’t exactly a rate or form), it might fall under an “Other” category. In practice, insurers use the Model/Other designation infrequently and usually in consultation with regulators on how to categorize an unusual filing.</w:t>
      </w:r>
    </w:p>
    <w:p w14:paraId="463D3A2D" w14:textId="77777777" w:rsidR="003E144F" w:rsidRPr="003E144F" w:rsidRDefault="003E144F" w:rsidP="003E144F">
      <w:pPr>
        <w:numPr>
          <w:ilvl w:val="0"/>
          <w:numId w:val="1"/>
        </w:numPr>
      </w:pPr>
      <w:r w:rsidRPr="003E144F">
        <w:rPr>
          <w:b/>
          <w:bCs/>
        </w:rPr>
        <w:t>Deviation Filings:</w:t>
      </w:r>
      <w:r w:rsidRPr="003E144F">
        <w:t xml:space="preserve"> Deviation filings are used when an insurer wants to </w:t>
      </w:r>
      <w:r w:rsidRPr="003E144F">
        <w:rPr>
          <w:b/>
          <w:bCs/>
        </w:rPr>
        <w:t>deviate from a rate or loss cost filed by a rating bureau</w:t>
      </w:r>
      <w:r w:rsidRPr="003E144F">
        <w:t xml:space="preserve">. In some states, particularly those with bureau or promulgated rates, insurers must get approval to charge something different from the standard rate. For example, North Carolina’s Rate Bureau sets a base homeowners rate; if a company wants to charge 5% less than that rate, it files a </w:t>
      </w:r>
      <w:r w:rsidRPr="003E144F">
        <w:rPr>
          <w:b/>
          <w:bCs/>
        </w:rPr>
        <w:t>deviation request</w:t>
      </w:r>
      <w:r w:rsidRPr="003E144F">
        <w:t xml:space="preserve"> to the Department of Insurance. The filing would include justification (often actuarial analysis) for why the company’s experience supports a lower rate. Deviations can also apply to advisory loss cost systems: an insurer might file a factor or adjustment that deviates from the advisory loss cost or rules. Any such deviation from the reference filing </w:t>
      </w:r>
      <w:r w:rsidRPr="003E144F">
        <w:rPr>
          <w:b/>
          <w:bCs/>
        </w:rPr>
        <w:t>must be filed and approved by regulators</w:t>
      </w:r>
      <w:r w:rsidRPr="003E144F">
        <w:t xml:space="preserve"> before the insurer can use it</w:t>
      </w:r>
      <w:r w:rsidRPr="003E144F">
        <w:rPr>
          <w:rFonts w:ascii="Arial" w:hAnsi="Arial" w:cs="Arial"/>
        </w:rPr>
        <w:t>​</w:t>
      </w:r>
    </w:p>
    <w:p w14:paraId="35EDADC9" w14:textId="77777777" w:rsidR="003E144F" w:rsidRPr="003E144F" w:rsidRDefault="003E144F" w:rsidP="003E144F">
      <w:hyperlink r:id="rId16" w:anchor=":~:text=provision,reference%20filing%20must%20be%20filed" w:tgtFrame="_blank" w:history="1">
        <w:r w:rsidRPr="003E144F">
          <w:rPr>
            <w:rStyle w:val="Hyperlink"/>
          </w:rPr>
          <w:t>content.naic.org</w:t>
        </w:r>
      </w:hyperlink>
    </w:p>
    <w:p w14:paraId="7A30BEE6" w14:textId="77777777" w:rsidR="003E144F" w:rsidRPr="003E144F" w:rsidRDefault="003E144F" w:rsidP="003E144F">
      <w:r w:rsidRPr="003E144F">
        <w:t xml:space="preserve">. </w:t>
      </w:r>
      <w:r w:rsidRPr="003E144F">
        <w:rPr>
          <w:i/>
          <w:iCs/>
        </w:rPr>
        <w:t>Use case:</w:t>
      </w:r>
      <w:r w:rsidRPr="003E144F">
        <w:t xml:space="preserve"> An insurer files a deviation to use a </w:t>
      </w:r>
      <w:r w:rsidRPr="003E144F">
        <w:rPr>
          <w:b/>
          <w:bCs/>
        </w:rPr>
        <w:t>lower rate than the approved state rating bureau rate</w:t>
      </w:r>
      <w:r w:rsidRPr="003E144F">
        <w:t>, aiming to be more competitive, or conversely, in some cases an insurer might seek a upward deviation (higher rate) if allowed, such as with special consent of the regulator. Deviations are less common in competitive-rating states, but in regulated environments they are an important tool for flexibility.</w:t>
      </w:r>
    </w:p>
    <w:p w14:paraId="3B187750" w14:textId="77777777" w:rsidR="003E144F" w:rsidRPr="003E144F" w:rsidRDefault="003E144F" w:rsidP="003E144F">
      <w:pPr>
        <w:rPr>
          <w:b/>
          <w:bCs/>
        </w:rPr>
      </w:pPr>
      <w:r w:rsidRPr="003E144F">
        <w:rPr>
          <w:b/>
          <w:bCs/>
        </w:rPr>
        <w:t>Filing Review and Approval Process</w:t>
      </w:r>
    </w:p>
    <w:p w14:paraId="34A61859" w14:textId="77777777" w:rsidR="003E144F" w:rsidRPr="003E144F" w:rsidRDefault="003E144F" w:rsidP="003E144F">
      <w:r w:rsidRPr="003E144F">
        <w:t xml:space="preserve">Once an insurer submits a filing (rate, rule, form, or any combination), the </w:t>
      </w:r>
      <w:r w:rsidRPr="003E144F">
        <w:rPr>
          <w:b/>
          <w:bCs/>
        </w:rPr>
        <w:t>regulatory approval process</w:t>
      </w:r>
      <w:r w:rsidRPr="003E144F">
        <w:t xml:space="preserve"> kicks in. The process ensures filings meet statutory requirements and </w:t>
      </w:r>
      <w:r w:rsidRPr="003E144F">
        <w:lastRenderedPageBreak/>
        <w:t>protect policyholders. While details vary by state and by filing type, some common steps and considerations apply:</w:t>
      </w:r>
    </w:p>
    <w:p w14:paraId="6300D177" w14:textId="77777777" w:rsidR="003E144F" w:rsidRPr="003E144F" w:rsidRDefault="003E144F" w:rsidP="003E144F">
      <w:pPr>
        <w:numPr>
          <w:ilvl w:val="0"/>
          <w:numId w:val="2"/>
        </w:numPr>
      </w:pPr>
      <w:r w:rsidRPr="003E144F">
        <w:rPr>
          <w:b/>
          <w:bCs/>
        </w:rPr>
        <w:t>Submission and Acknowledgment:</w:t>
      </w:r>
      <w:r w:rsidRPr="003E144F">
        <w:t xml:space="preserve"> Filings are typically submitted electronically (via SERFF) to the state’s Department of Insurance. The DOI will acknowledge receipt and assign the filing for review. It’s crucial that the insurer categorizes the filing correctly and provides all required documentation (e.g. cover letters, explanatory memoranda, exhibits), otherwise the DOI may reject it upfront as incomplete</w:t>
      </w:r>
      <w:r w:rsidRPr="003E144F">
        <w:rPr>
          <w:rFonts w:ascii="Arial" w:hAnsi="Arial" w:cs="Arial"/>
        </w:rPr>
        <w:t>​</w:t>
      </w:r>
    </w:p>
    <w:p w14:paraId="3170B8D8" w14:textId="77777777" w:rsidR="003E144F" w:rsidRPr="003E144F" w:rsidRDefault="003E144F" w:rsidP="003E144F">
      <w:hyperlink r:id="rId17" w:anchor=":~:text=,Licensed" w:tgtFrame="_blank" w:history="1">
        <w:r w:rsidRPr="003E144F">
          <w:rPr>
            <w:rStyle w:val="Hyperlink"/>
          </w:rPr>
          <w:t>insurance.wa.gov</w:t>
        </w:r>
      </w:hyperlink>
    </w:p>
    <w:p w14:paraId="4C6FFE8D" w14:textId="77777777" w:rsidR="003E144F" w:rsidRPr="003E144F" w:rsidRDefault="003E144F" w:rsidP="003E144F">
      <w:r w:rsidRPr="003E144F">
        <w:t>.</w:t>
      </w:r>
    </w:p>
    <w:p w14:paraId="7F853705" w14:textId="77777777" w:rsidR="003E144F" w:rsidRPr="003E144F" w:rsidRDefault="003E144F" w:rsidP="003E144F">
      <w:pPr>
        <w:numPr>
          <w:ilvl w:val="0"/>
          <w:numId w:val="2"/>
        </w:numPr>
      </w:pPr>
      <w:r w:rsidRPr="003E144F">
        <w:rPr>
          <w:b/>
          <w:bCs/>
        </w:rPr>
        <w:t>Rate/Rule Filings – Review:</w:t>
      </w:r>
      <w:r w:rsidRPr="003E144F">
        <w:t xml:space="preserve"> Rate and rule filings are usually reviewed by the DOI’s </w:t>
      </w:r>
      <w:r w:rsidRPr="003E144F">
        <w:rPr>
          <w:b/>
          <w:bCs/>
        </w:rPr>
        <w:t>actuarial or rate analysis team</w:t>
      </w:r>
      <w:r w:rsidRPr="003E144F">
        <w:t>. The regulators examine the supporting data, actuarial models, and rationale for the proposed rates or rules. They verify compliance with rating laws – for example, ensuring the rates aren’t excessive or unfairly discriminatory and that any rate differences correlate with expected risk. Common requirements include an actuarial memorandum, experience exhibits (loss ratios, expense breakdowns, etc.), and justification for any new factors. Regulators may perform independent analyses or ask for clarification. For instance, they’ll check that the insurer provided at least the minimum loss history required (often 5 years of data) and that any rate increase is supported by loss trends and projections</w:t>
      </w:r>
      <w:r w:rsidRPr="003E144F">
        <w:rPr>
          <w:rFonts w:ascii="Arial" w:hAnsi="Arial" w:cs="Arial"/>
        </w:rPr>
        <w:t>​</w:t>
      </w:r>
    </w:p>
    <w:p w14:paraId="349CA5D1" w14:textId="77777777" w:rsidR="003E144F" w:rsidRPr="003E144F" w:rsidRDefault="003E144F" w:rsidP="003E144F">
      <w:hyperlink r:id="rId18" w:anchor=":~:text=,request%20additional%20information%20as%20deemed" w:tgtFrame="_blank" w:history="1">
        <w:r w:rsidRPr="003E144F">
          <w:rPr>
            <w:rStyle w:val="Hyperlink"/>
          </w:rPr>
          <w:t>texreg.sos.state.tx.us</w:t>
        </w:r>
      </w:hyperlink>
    </w:p>
    <w:p w14:paraId="78920516" w14:textId="77777777" w:rsidR="003E144F" w:rsidRPr="003E144F" w:rsidRDefault="003E144F" w:rsidP="003E144F">
      <w:r w:rsidRPr="003E144F">
        <w:t xml:space="preserve">. </w:t>
      </w:r>
      <w:r w:rsidRPr="003E144F">
        <w:rPr>
          <w:b/>
          <w:bCs/>
        </w:rPr>
        <w:t>Objections:</w:t>
      </w:r>
      <w:r w:rsidRPr="003E144F">
        <w:t xml:space="preserve"> It’s common for regulators to send questions or objections if something is unclear or appears non-compliant. The insurer must respond to each objection (often through SERFF) with additional info or revisions. This back-and-forth continues until the regulator is satisfied. Only then will the filing be approved or acknowledged. If a rate filing lacks support or violates standards, the DOI can disapprove it. In sum, the rate/rule review focuses on actuarial soundness and legal compliance of how premiums are determined.</w:t>
      </w:r>
    </w:p>
    <w:p w14:paraId="14DA05BF" w14:textId="77777777" w:rsidR="003E144F" w:rsidRPr="003E144F" w:rsidRDefault="003E144F" w:rsidP="003E144F">
      <w:pPr>
        <w:numPr>
          <w:ilvl w:val="0"/>
          <w:numId w:val="2"/>
        </w:numPr>
      </w:pPr>
      <w:r w:rsidRPr="003E144F">
        <w:rPr>
          <w:b/>
          <w:bCs/>
        </w:rPr>
        <w:t>Form Filings – Review:</w:t>
      </w:r>
      <w:r w:rsidRPr="003E144F">
        <w:t xml:space="preserve"> Form filings go to the DOI’s </w:t>
      </w:r>
      <w:r w:rsidRPr="003E144F">
        <w:rPr>
          <w:b/>
          <w:bCs/>
        </w:rPr>
        <w:t>policy forms or legal review section</w:t>
      </w:r>
      <w:r w:rsidRPr="003E144F">
        <w:t xml:space="preserve">. Attorneys or analysts will scrutinize the submitted insurance forms (policies, endorsements, applications) for compliance with state laws and regulations. They check that the forms contain any </w:t>
      </w:r>
      <w:r w:rsidRPr="003E144F">
        <w:rPr>
          <w:b/>
          <w:bCs/>
        </w:rPr>
        <w:t>mandatory provisions</w:t>
      </w:r>
      <w:r w:rsidRPr="003E144F">
        <w:t xml:space="preserve"> (such as certain cancellation provisions or consumer disclosures) and </w:t>
      </w:r>
      <w:r w:rsidRPr="003E144F">
        <w:rPr>
          <w:b/>
          <w:bCs/>
        </w:rPr>
        <w:t>no prohibited clauses</w:t>
      </w:r>
      <w:r w:rsidRPr="003E144F">
        <w:t xml:space="preserve"> (for example, some states ban arbitration clauses or require certain coverages in homeowners policies). They also often review readability (some states </w:t>
      </w:r>
      <w:r w:rsidRPr="003E144F">
        <w:lastRenderedPageBreak/>
        <w:t xml:space="preserve">require a minimum Flesch Reading score or similar) and formatting requirements. During review, the regulator will compare the forms against statutes – for homeowners insurance this could include laws on minimum coverage (e.g. fire insurance standard provisions), fair claims settlement practices (if any related language is in the form), and consumer protection rules. </w:t>
      </w:r>
      <w:r w:rsidRPr="003E144F">
        <w:rPr>
          <w:b/>
          <w:bCs/>
        </w:rPr>
        <w:t>Objections:</w:t>
      </w:r>
      <w:r w:rsidRPr="003E144F">
        <w:t xml:space="preserve"> If a form has ambiguous wording, conflicts with state law, or lacks required language, the DOI will issue an objection letter. The insurer then must revise the form or provide clarification. For example, if an insurer’s new home policy form attempted to exclude a coverage that state law says must be offered, the DOI would not approve it. Once all issues are resolved and the forms comply, the DOI grants approval. Form filing approvals often come with an </w:t>
      </w:r>
      <w:r w:rsidRPr="003E144F">
        <w:rPr>
          <w:i/>
          <w:iCs/>
        </w:rPr>
        <w:t>approval stamp or order</w:t>
      </w:r>
      <w:r w:rsidRPr="003E144F">
        <w:t xml:space="preserve"> and an effective date from which the insurer can use the forms.</w:t>
      </w:r>
    </w:p>
    <w:p w14:paraId="0B1B2178" w14:textId="77777777" w:rsidR="003E144F" w:rsidRPr="003E144F" w:rsidRDefault="003E144F" w:rsidP="003E144F">
      <w:pPr>
        <w:numPr>
          <w:ilvl w:val="0"/>
          <w:numId w:val="2"/>
        </w:numPr>
      </w:pPr>
      <w:r w:rsidRPr="003E144F">
        <w:rPr>
          <w:b/>
          <w:bCs/>
        </w:rPr>
        <w:t>Regulatory Approval Timing:</w:t>
      </w:r>
      <w:r w:rsidRPr="003E144F">
        <w:t xml:space="preserve"> The </w:t>
      </w:r>
      <w:r w:rsidRPr="003E144F">
        <w:rPr>
          <w:b/>
          <w:bCs/>
        </w:rPr>
        <w:t>speed and nature of approval</w:t>
      </w:r>
      <w:r w:rsidRPr="003E144F">
        <w:t xml:space="preserve"> can vary significantly by state and filing type. Many states have laws specifying how filings take effect:</w:t>
      </w:r>
    </w:p>
    <w:p w14:paraId="2ADFAB19" w14:textId="77777777" w:rsidR="003E144F" w:rsidRPr="003E144F" w:rsidRDefault="003E144F" w:rsidP="003E144F">
      <w:pPr>
        <w:numPr>
          <w:ilvl w:val="1"/>
          <w:numId w:val="2"/>
        </w:numPr>
      </w:pPr>
      <w:r w:rsidRPr="003E144F">
        <w:t xml:space="preserve">In </w:t>
      </w:r>
      <w:r w:rsidRPr="003E144F">
        <w:rPr>
          <w:b/>
          <w:bCs/>
        </w:rPr>
        <w:t>prior approval states</w:t>
      </w:r>
      <w:r w:rsidRPr="003E144F">
        <w:t xml:space="preserve">, the insurer </w:t>
      </w:r>
      <w:r w:rsidRPr="003E144F">
        <w:rPr>
          <w:b/>
          <w:bCs/>
        </w:rPr>
        <w:t>must wait for explicit DOI approval</w:t>
      </w:r>
      <w:r w:rsidRPr="003E144F">
        <w:t xml:space="preserve"> before using the new rates or forms. About half of US states use prior approval for personal lines, meaning homeowners rate and form changes need a sign-off before they can be implemented</w:t>
      </w:r>
      <w:r w:rsidRPr="003E144F">
        <w:rPr>
          <w:rFonts w:ascii="Arial" w:hAnsi="Arial" w:cs="Arial"/>
        </w:rPr>
        <w:t>​</w:t>
      </w:r>
    </w:p>
    <w:p w14:paraId="61B3A1E4" w14:textId="77777777" w:rsidR="003E144F" w:rsidRPr="003E144F" w:rsidRDefault="003E144F" w:rsidP="003E144F">
      <w:hyperlink r:id="rId19" w:anchor=":~:text=For%20personal%20property,that%20competition%20is%20not%20working" w:tgtFrame="_blank" w:history="1">
        <w:r w:rsidRPr="003E144F">
          <w:rPr>
            <w:rStyle w:val="Hyperlink"/>
          </w:rPr>
          <w:t>content.naic.org</w:t>
        </w:r>
      </w:hyperlink>
    </w:p>
    <w:p w14:paraId="4356906E" w14:textId="77777777" w:rsidR="003E144F" w:rsidRPr="003E144F" w:rsidRDefault="003E144F" w:rsidP="003E144F">
      <w:r w:rsidRPr="003E144F">
        <w:t>. For example, California and Florida require prior approval of property insurance rates – an insurer cannot raise homeowners rates until the regulator formally approves the filing (which can take months). Some prior-approval states include a “deemer” period – if the DOI does not act within a certain timeframe (e.g. 30 days in Maine), the filing is deemed approved by law</w:t>
      </w:r>
      <w:r w:rsidRPr="003E144F">
        <w:rPr>
          <w:rFonts w:ascii="Arial" w:hAnsi="Arial" w:cs="Arial"/>
        </w:rPr>
        <w:t>​</w:t>
      </w:r>
    </w:p>
    <w:p w14:paraId="6AEF9550" w14:textId="77777777" w:rsidR="003E144F" w:rsidRPr="003E144F" w:rsidRDefault="003E144F" w:rsidP="003E144F">
      <w:hyperlink r:id="rId20" w:anchor=":~:text=Prior%20approval%20required%20for%20rates,Homeowners%201%20Update%201%2F12%2F2023" w:tgtFrame="_blank" w:history="1">
        <w:r w:rsidRPr="003E144F">
          <w:rPr>
            <w:rStyle w:val="Hyperlink"/>
          </w:rPr>
          <w:t>maine.gov</w:t>
        </w:r>
      </w:hyperlink>
    </w:p>
    <w:p w14:paraId="0440179A" w14:textId="77777777" w:rsidR="003E144F" w:rsidRPr="003E144F" w:rsidRDefault="003E144F" w:rsidP="003E144F">
      <w:r w:rsidRPr="003E144F">
        <w:t>.</w:t>
      </w:r>
    </w:p>
    <w:p w14:paraId="29D61409" w14:textId="77777777" w:rsidR="003E144F" w:rsidRPr="003E144F" w:rsidRDefault="003E144F" w:rsidP="003E144F">
      <w:pPr>
        <w:numPr>
          <w:ilvl w:val="1"/>
          <w:numId w:val="2"/>
        </w:numPr>
      </w:pPr>
      <w:r w:rsidRPr="003E144F">
        <w:t xml:space="preserve">In </w:t>
      </w:r>
      <w:r w:rsidRPr="003E144F">
        <w:rPr>
          <w:b/>
          <w:bCs/>
        </w:rPr>
        <w:t>“file-and-use” states</w:t>
      </w:r>
      <w:r w:rsidRPr="003E144F">
        <w:t xml:space="preserve">, the insurer may </w:t>
      </w:r>
      <w:r w:rsidRPr="003E144F">
        <w:rPr>
          <w:b/>
          <w:bCs/>
        </w:rPr>
        <w:t>begin using the filed rates or forms as soon as they are filed (or after a short waiting period)</w:t>
      </w:r>
      <w:r w:rsidRPr="003E144F">
        <w:t>, without waiting for affirmative approval</w:t>
      </w:r>
      <w:r w:rsidRPr="003E144F">
        <w:rPr>
          <w:rFonts w:ascii="Arial" w:hAnsi="Arial" w:cs="Arial"/>
        </w:rPr>
        <w:t>​</w:t>
      </w:r>
    </w:p>
    <w:p w14:paraId="14CB73BD" w14:textId="77777777" w:rsidR="003E144F" w:rsidRPr="003E144F" w:rsidRDefault="003E144F" w:rsidP="003E144F">
      <w:hyperlink r:id="rId21" w:anchor=":~:text=,of%20Rates%20Under%20Certain%20Circumstances" w:tgtFrame="_blank" w:history="1">
        <w:r w:rsidRPr="003E144F">
          <w:rPr>
            <w:rStyle w:val="Hyperlink"/>
          </w:rPr>
          <w:t>texreg.sos.state.tx.us</w:t>
        </w:r>
      </w:hyperlink>
    </w:p>
    <w:p w14:paraId="5C23E4A9" w14:textId="77777777" w:rsidR="003E144F" w:rsidRPr="003E144F" w:rsidRDefault="003E144F" w:rsidP="003E144F">
      <w:r w:rsidRPr="003E144F">
        <w:t xml:space="preserve">. The regulator still reviews the filing and can disapprove or require changes if it finds a problem, but the process is post-filing. For instance, in Texas most property/casualty filings are file-and-use – the insurer can implement the new homeowners rates on or after the </w:t>
      </w:r>
      <w:r w:rsidRPr="003E144F">
        <w:lastRenderedPageBreak/>
        <w:t>date of filing, as long as they’ve submitted all required info, unless the insurer falls under special circumstances requiring prior approval</w:t>
      </w:r>
      <w:r w:rsidRPr="003E144F">
        <w:rPr>
          <w:rFonts w:ascii="Arial" w:hAnsi="Arial" w:cs="Arial"/>
        </w:rPr>
        <w:t>​</w:t>
      </w:r>
    </w:p>
    <w:p w14:paraId="680820C7" w14:textId="77777777" w:rsidR="003E144F" w:rsidRPr="003E144F" w:rsidRDefault="003E144F" w:rsidP="003E144F">
      <w:hyperlink r:id="rId22" w:anchor=":~:text=,of%20Rates%20Under%20Certain%20Circumstances" w:tgtFrame="_blank" w:history="1">
        <w:r w:rsidRPr="003E144F">
          <w:rPr>
            <w:rStyle w:val="Hyperlink"/>
          </w:rPr>
          <w:t>texreg.sos.state.tx.us</w:t>
        </w:r>
      </w:hyperlink>
    </w:p>
    <w:p w14:paraId="1ADE5606" w14:textId="77777777" w:rsidR="003E144F" w:rsidRPr="003E144F" w:rsidRDefault="003E144F" w:rsidP="003E144F">
      <w:r w:rsidRPr="003E144F">
        <w:t>. File-and-use speeds up time to market, but insurers risk having to roll back changes if the DOI later objects.</w:t>
      </w:r>
    </w:p>
    <w:p w14:paraId="5E96F4F3" w14:textId="77777777" w:rsidR="003E144F" w:rsidRPr="003E144F" w:rsidRDefault="003E144F" w:rsidP="003E144F">
      <w:pPr>
        <w:numPr>
          <w:ilvl w:val="1"/>
          <w:numId w:val="2"/>
        </w:numPr>
      </w:pPr>
      <w:r w:rsidRPr="003E144F">
        <w:t xml:space="preserve">A few states use </w:t>
      </w:r>
      <w:r w:rsidRPr="003E144F">
        <w:rPr>
          <w:b/>
          <w:bCs/>
        </w:rPr>
        <w:t>“use-and-file”</w:t>
      </w:r>
      <w:r w:rsidRPr="003E144F">
        <w:t xml:space="preserve"> (the insurer uses new rates first, then files within a prescribed time after implementation) or </w:t>
      </w:r>
      <w:r w:rsidRPr="003E144F">
        <w:rPr>
          <w:b/>
          <w:bCs/>
        </w:rPr>
        <w:t>flex-rating</w:t>
      </w:r>
      <w:r w:rsidRPr="003E144F">
        <w:t xml:space="preserve"> systems (minor rate changes can bypass prior approval, but larger changes require it). For example, a state might allow ±5% rate changes to be file-and-use, but anything above that needs prior approval. These nuances are state-specific and outlined in each state’s insurance code.</w:t>
      </w:r>
    </w:p>
    <w:p w14:paraId="60400723" w14:textId="77777777" w:rsidR="003E144F" w:rsidRPr="003E144F" w:rsidRDefault="003E144F" w:rsidP="003E144F">
      <w:pPr>
        <w:numPr>
          <w:ilvl w:val="1"/>
          <w:numId w:val="2"/>
        </w:numPr>
      </w:pPr>
      <w:r w:rsidRPr="003E144F">
        <w:rPr>
          <w:b/>
          <w:bCs/>
        </w:rPr>
        <w:t>Forms vs. Rates:</w:t>
      </w:r>
      <w:r w:rsidRPr="003E144F">
        <w:t xml:space="preserve"> It’s common for states to apply prior approval to forms even if they allow more flexibility on rates. This is because contract language directly affects coverage and consumer protection. For instance, a state might let rates be file-and-use but still require all new policy forms to be approved before use. Always, the insurer must adhere to the stricter rule applicable.</w:t>
      </w:r>
    </w:p>
    <w:p w14:paraId="135EA308" w14:textId="77777777" w:rsidR="003E144F" w:rsidRPr="003E144F" w:rsidRDefault="003E144F" w:rsidP="003E144F">
      <w:pPr>
        <w:numPr>
          <w:ilvl w:val="0"/>
          <w:numId w:val="2"/>
        </w:numPr>
      </w:pPr>
      <w:r w:rsidRPr="003E144F">
        <w:rPr>
          <w:b/>
          <w:bCs/>
        </w:rPr>
        <w:t>Final Disposition:</w:t>
      </w:r>
      <w:r w:rsidRPr="003E144F">
        <w:t xml:space="preserve"> After review, the DOI will mark the filing as </w:t>
      </w:r>
      <w:r w:rsidRPr="003E144F">
        <w:rPr>
          <w:b/>
          <w:bCs/>
        </w:rPr>
        <w:t>Approved</w:t>
      </w:r>
      <w:r w:rsidRPr="003E144F">
        <w:t xml:space="preserve">, </w:t>
      </w:r>
      <w:r w:rsidRPr="003E144F">
        <w:rPr>
          <w:b/>
          <w:bCs/>
        </w:rPr>
        <w:t>Approved with modifications/conditions</w:t>
      </w:r>
      <w:r w:rsidRPr="003E144F">
        <w:t xml:space="preserve">, </w:t>
      </w:r>
      <w:r w:rsidRPr="003E144F">
        <w:rPr>
          <w:b/>
          <w:bCs/>
        </w:rPr>
        <w:t>Disapproved</w:t>
      </w:r>
      <w:r w:rsidRPr="003E144F">
        <w:t xml:space="preserve">, or </w:t>
      </w:r>
      <w:r w:rsidRPr="003E144F">
        <w:rPr>
          <w:b/>
          <w:bCs/>
        </w:rPr>
        <w:t>Filed/Acknowledged</w:t>
      </w:r>
      <w:r w:rsidRPr="003E144F">
        <w:t xml:space="preserve"> (in some file-and-use cases). The insurer then proceeds accordingly – if approved, they implement the new rates/rules/forms on the effective date; if disapproved, they must not use them and may revise and refile. Many DOIs publish approved filings or at least their summaries for public transparency. Industry professionals track these outcomes closely, as they affect when and how products can be rolled out.</w:t>
      </w:r>
    </w:p>
    <w:p w14:paraId="30A1312A" w14:textId="77777777" w:rsidR="003E144F" w:rsidRPr="003E144F" w:rsidRDefault="003E144F" w:rsidP="003E144F">
      <w:r w:rsidRPr="003E144F">
        <w:rPr>
          <w:b/>
          <w:bCs/>
        </w:rPr>
        <w:t>State-Specific Nuances:</w:t>
      </w:r>
      <w:r w:rsidRPr="003E144F">
        <w:t xml:space="preserve"> It’s important to note that each state has its own insurance filing laws and regulations. Filing requirements are often detailed in state insurance codes and can change. For example, </w:t>
      </w:r>
      <w:r w:rsidRPr="003E144F">
        <w:rPr>
          <w:b/>
          <w:bCs/>
        </w:rPr>
        <w:t>California’s Proposition 103</w:t>
      </w:r>
      <w:r w:rsidRPr="003E144F">
        <w:t xml:space="preserve"> not only mandates prior approval for P&amp;C rates but also allows for public commentary and even hearings on rate filings, contributing to a lengthy approval timeline in that state. By contrast, a state like </w:t>
      </w:r>
      <w:r w:rsidRPr="003E144F">
        <w:rPr>
          <w:b/>
          <w:bCs/>
        </w:rPr>
        <w:t>Illinois</w:t>
      </w:r>
      <w:r w:rsidRPr="003E144F">
        <w:t xml:space="preserve"> operates under a more open competition model, where insurers must file rates but regulators mainly intervene if a rate is deemed problematic (there’s no upfront approval needed for most P&amp;C lines). Additionally, some states have unique filing types – e.g., “consent-to-rate” filings (where an insured consents to a higher-than-filed rate for a specific risk) or specialized filings for coastal property programs – which come with their own review process. Industry professionals must be aware of these jurisdictional </w:t>
      </w:r>
      <w:r w:rsidRPr="003E144F">
        <w:lastRenderedPageBreak/>
        <w:t xml:space="preserve">differences. In practice, companies often use </w:t>
      </w:r>
      <w:r w:rsidRPr="003E144F">
        <w:rPr>
          <w:b/>
          <w:bCs/>
        </w:rPr>
        <w:t>state filing checklists and NAIC guidelines</w:t>
      </w:r>
      <w:r w:rsidRPr="003E144F">
        <w:t xml:space="preserve"> to ensure each filing meets the target state’s requirements for content and timing.</w:t>
      </w:r>
    </w:p>
    <w:p w14:paraId="32E7E822" w14:textId="77777777" w:rsidR="003E144F" w:rsidRPr="003E144F" w:rsidRDefault="003E144F" w:rsidP="003E144F">
      <w:r w:rsidRPr="003E144F">
        <w:t xml:space="preserve">In summary, </w:t>
      </w:r>
      <w:r w:rsidRPr="003E144F">
        <w:rPr>
          <w:b/>
          <w:bCs/>
        </w:rPr>
        <w:t>homeowners insurance filings</w:t>
      </w:r>
      <w:r w:rsidRPr="003E144F">
        <w:t xml:space="preserve"> fall into distinct categories of rate, rule, and form filings, each serving a different purpose and reviewed by regulators with different expertise (actuarial vs. legal). Combination filings (rate/rule or rate/rule/form) and special cases (loss cost adoptions, deviations, etc.) address situations where multiple aspects of a program change. The </w:t>
      </w:r>
      <w:r w:rsidRPr="003E144F">
        <w:rPr>
          <w:b/>
          <w:bCs/>
        </w:rPr>
        <w:t>approval process</w:t>
      </w:r>
      <w:r w:rsidRPr="003E144F">
        <w:t xml:space="preserve"> for each type involves careful scrutiny to ensure compliance with insurance laws and consumer protection standards, with variation in whether approval is needed before use or not. Understanding these filing categories and the state-specific approval rules is critical for insurance professionals to successfully navigate product changes and launch new programs in the homeowners insurance market. Compliance at each step – from choosing the correct filing category to providing thorough supporting documentation – will smooth the path to regulatory approval</w:t>
      </w:r>
      <w:r w:rsidRPr="003E144F">
        <w:rPr>
          <w:rFonts w:ascii="Arial" w:hAnsi="Arial" w:cs="Arial"/>
        </w:rPr>
        <w:t>​</w:t>
      </w:r>
    </w:p>
    <w:p w14:paraId="05C12BF5" w14:textId="77777777" w:rsidR="003E144F" w:rsidRPr="003E144F" w:rsidRDefault="003E144F" w:rsidP="003E144F">
      <w:hyperlink r:id="rId23" w:anchor=":~:text=It%20is%20important%20that%20filers,company%E2%80%99s%20project%20timelines%20and%20goals" w:tgtFrame="_blank" w:history="1">
        <w:r w:rsidRPr="003E144F">
          <w:rPr>
            <w:rStyle w:val="Hyperlink"/>
          </w:rPr>
          <w:t>milliman.com</w:t>
        </w:r>
      </w:hyperlink>
    </w:p>
    <w:p w14:paraId="5EC0140B" w14:textId="77777777" w:rsidR="003E144F" w:rsidRPr="003E144F" w:rsidRDefault="003E144F" w:rsidP="003E144F">
      <w:r w:rsidRPr="003E144F">
        <w:rPr>
          <w:rFonts w:ascii="Arial" w:hAnsi="Arial" w:cs="Arial"/>
        </w:rPr>
        <w:t>​</w:t>
      </w:r>
    </w:p>
    <w:p w14:paraId="09CDD320" w14:textId="77777777" w:rsidR="003E144F" w:rsidRPr="003E144F" w:rsidRDefault="003E144F" w:rsidP="003E144F">
      <w:hyperlink r:id="rId24" w:anchor=":~:text=Figure%203%20is%20a%20heat,different%20set%20of%20selected%20states" w:tgtFrame="_blank" w:history="1">
        <w:r w:rsidRPr="003E144F">
          <w:rPr>
            <w:rStyle w:val="Hyperlink"/>
          </w:rPr>
          <w:t>milliman.com</w:t>
        </w:r>
      </w:hyperlink>
    </w:p>
    <w:p w14:paraId="38292008" w14:textId="77777777" w:rsidR="003E144F" w:rsidRPr="003E144F" w:rsidRDefault="003E144F" w:rsidP="003E144F">
      <w:r w:rsidRPr="003E144F">
        <w:t>, allowing insurers to get their rates and products to market efficiently while meeting all regulatory obligations.</w:t>
      </w:r>
    </w:p>
    <w:p w14:paraId="1CBEAF98" w14:textId="77777777" w:rsidR="003E144F" w:rsidRPr="003E144F" w:rsidRDefault="003E144F" w:rsidP="003E144F">
      <w:r w:rsidRPr="003E144F">
        <w:rPr>
          <w:b/>
          <w:bCs/>
        </w:rPr>
        <w:t>Sources:</w:t>
      </w:r>
    </w:p>
    <w:p w14:paraId="5A632825" w14:textId="77777777" w:rsidR="003E144F" w:rsidRPr="003E144F" w:rsidRDefault="003E144F" w:rsidP="003E144F">
      <w:pPr>
        <w:numPr>
          <w:ilvl w:val="0"/>
          <w:numId w:val="3"/>
        </w:numPr>
      </w:pPr>
      <w:r w:rsidRPr="003E144F">
        <w:t xml:space="preserve">Arizona Department of Insurance – </w:t>
      </w:r>
      <w:r w:rsidRPr="003E144F">
        <w:rPr>
          <w:i/>
          <w:iCs/>
        </w:rPr>
        <w:t>SERFF Filing Access</w:t>
      </w:r>
      <w:r w:rsidRPr="003E144F">
        <w:t xml:space="preserve"> (definitions of Rate, Rule, Form filings)</w:t>
      </w:r>
      <w:r w:rsidRPr="003E144F">
        <w:rPr>
          <w:rFonts w:ascii="Arial" w:hAnsi="Arial" w:cs="Arial"/>
        </w:rPr>
        <w:t>​</w:t>
      </w:r>
    </w:p>
    <w:p w14:paraId="2907E9B0" w14:textId="77777777" w:rsidR="003E144F" w:rsidRPr="003E144F" w:rsidRDefault="003E144F" w:rsidP="003E144F">
      <w:hyperlink r:id="rId25" w:anchor=":~:text=,rated%20and%20the%20premium%20charged" w:tgtFrame="_blank" w:history="1">
        <w:r w:rsidRPr="003E144F">
          <w:rPr>
            <w:rStyle w:val="Hyperlink"/>
          </w:rPr>
          <w:t>difi.az.gov</w:t>
        </w:r>
      </w:hyperlink>
    </w:p>
    <w:p w14:paraId="2F9CBB09" w14:textId="77777777" w:rsidR="003E144F" w:rsidRPr="003E144F" w:rsidRDefault="003E144F" w:rsidP="003E144F">
      <w:pPr>
        <w:numPr>
          <w:ilvl w:val="0"/>
          <w:numId w:val="3"/>
        </w:numPr>
      </w:pPr>
      <w:r w:rsidRPr="003E144F">
        <w:t xml:space="preserve">NAIC – </w:t>
      </w:r>
      <w:r w:rsidRPr="003E144F">
        <w:rPr>
          <w:i/>
          <w:iCs/>
        </w:rPr>
        <w:t>Product Filing Review Handbook / Loss Cost Filing Guidance</w:t>
      </w:r>
      <w:r w:rsidRPr="003E144F">
        <w:t xml:space="preserve"> (rate/rule filing overview; loss cost &amp; deviation requirements)</w:t>
      </w:r>
      <w:r w:rsidRPr="003E144F">
        <w:rPr>
          <w:rFonts w:ascii="Arial" w:hAnsi="Arial" w:cs="Arial"/>
        </w:rPr>
        <w:t>​</w:t>
      </w:r>
    </w:p>
    <w:p w14:paraId="2AC027A8" w14:textId="77777777" w:rsidR="003E144F" w:rsidRPr="003E144F" w:rsidRDefault="003E144F" w:rsidP="003E144F">
      <w:hyperlink r:id="rId26" w:anchor=":~:text=A%20rating%20system%20for%20property,costs%20to%20the%20insurer%E2%80%99s%20rates" w:tgtFrame="_blank" w:history="1">
        <w:r w:rsidRPr="003E144F">
          <w:rPr>
            <w:rStyle w:val="Hyperlink"/>
          </w:rPr>
          <w:t>content.naic.org</w:t>
        </w:r>
      </w:hyperlink>
    </w:p>
    <w:p w14:paraId="28BE1446" w14:textId="77777777" w:rsidR="003E144F" w:rsidRPr="003E144F" w:rsidRDefault="003E144F" w:rsidP="003E144F">
      <w:r w:rsidRPr="003E144F">
        <w:rPr>
          <w:rFonts w:ascii="Arial" w:hAnsi="Arial" w:cs="Arial"/>
        </w:rPr>
        <w:t>​</w:t>
      </w:r>
    </w:p>
    <w:p w14:paraId="1F1C9CC5" w14:textId="77777777" w:rsidR="003E144F" w:rsidRPr="003E144F" w:rsidRDefault="003E144F" w:rsidP="003E144F">
      <w:hyperlink r:id="rId27" w:anchor=":~:text=provision,reference%20filing%20must%20be%20filed" w:tgtFrame="_blank" w:history="1">
        <w:r w:rsidRPr="003E144F">
          <w:rPr>
            <w:rStyle w:val="Hyperlink"/>
          </w:rPr>
          <w:t>content.naic.org</w:t>
        </w:r>
      </w:hyperlink>
    </w:p>
    <w:p w14:paraId="27B6F527" w14:textId="77777777" w:rsidR="003E144F" w:rsidRPr="003E144F" w:rsidRDefault="003E144F" w:rsidP="003E144F">
      <w:pPr>
        <w:numPr>
          <w:ilvl w:val="0"/>
          <w:numId w:val="3"/>
        </w:numPr>
      </w:pPr>
      <w:r w:rsidRPr="003E144F">
        <w:t xml:space="preserve">Louisiana Department of Insurance – </w:t>
      </w:r>
      <w:r w:rsidRPr="003E144F">
        <w:rPr>
          <w:i/>
          <w:iCs/>
        </w:rPr>
        <w:t>Rate and Rule Filing Handbook</w:t>
      </w:r>
      <w:r w:rsidRPr="003E144F">
        <w:t xml:space="preserve"> (filing submission guidelines; separation of forms vs. rates)</w:t>
      </w:r>
      <w:r w:rsidRPr="003E144F">
        <w:rPr>
          <w:rFonts w:ascii="Arial" w:hAnsi="Arial" w:cs="Arial"/>
        </w:rPr>
        <w:t>​</w:t>
      </w:r>
    </w:p>
    <w:p w14:paraId="30E7ACDD" w14:textId="77777777" w:rsidR="003E144F" w:rsidRPr="003E144F" w:rsidRDefault="003E144F" w:rsidP="003E144F">
      <w:hyperlink r:id="rId28" w:anchor=":~:text=,Licensed" w:tgtFrame="_blank" w:history="1">
        <w:r w:rsidRPr="003E144F">
          <w:rPr>
            <w:rStyle w:val="Hyperlink"/>
          </w:rPr>
          <w:t>insurance.wa.gov</w:t>
        </w:r>
      </w:hyperlink>
    </w:p>
    <w:p w14:paraId="42DF7001" w14:textId="77777777" w:rsidR="003E144F" w:rsidRPr="003E144F" w:rsidRDefault="003E144F" w:rsidP="003E144F">
      <w:pPr>
        <w:numPr>
          <w:ilvl w:val="0"/>
          <w:numId w:val="3"/>
        </w:numPr>
      </w:pPr>
      <w:r w:rsidRPr="003E144F">
        <w:lastRenderedPageBreak/>
        <w:t xml:space="preserve">Mississippi DOI – </w:t>
      </w:r>
      <w:r w:rsidRPr="003E144F">
        <w:rPr>
          <w:i/>
          <w:iCs/>
        </w:rPr>
        <w:t>Property/Casualty Rate Filing Bulletin</w:t>
      </w:r>
      <w:r w:rsidRPr="003E144F">
        <w:t xml:space="preserve"> (examples of combined rate/rule/form program filings)</w:t>
      </w:r>
      <w:r w:rsidRPr="003E144F">
        <w:rPr>
          <w:rFonts w:ascii="Arial" w:hAnsi="Arial" w:cs="Arial"/>
        </w:rPr>
        <w:t>​</w:t>
      </w:r>
    </w:p>
    <w:p w14:paraId="10D8A86A" w14:textId="77777777" w:rsidR="003E144F" w:rsidRPr="003E144F" w:rsidRDefault="003E144F" w:rsidP="003E144F">
      <w:hyperlink r:id="rId29" w:anchor=":~:text=MARKEL%20AMERICAN%20INSURANCE%20COMPANY%20MRKB,Covered%20Event%20Coverage%20has%20a" w:tgtFrame="_blank" w:history="1">
        <w:r w:rsidRPr="003E144F">
          <w:rPr>
            <w:rStyle w:val="Hyperlink"/>
          </w:rPr>
          <w:t>apps.mid.ms.gov</w:t>
        </w:r>
      </w:hyperlink>
    </w:p>
    <w:p w14:paraId="62C19A03" w14:textId="77777777" w:rsidR="003E144F" w:rsidRPr="003E144F" w:rsidRDefault="003E144F" w:rsidP="003E144F">
      <w:pPr>
        <w:numPr>
          <w:ilvl w:val="0"/>
          <w:numId w:val="3"/>
        </w:numPr>
      </w:pPr>
      <w:r w:rsidRPr="003E144F">
        <w:t>Texas Administrative Code §5.9334 (file-and-use provisions for P&amp;C filings, with prior-approval exceptions)</w:t>
      </w:r>
      <w:r w:rsidRPr="003E144F">
        <w:rPr>
          <w:rFonts w:ascii="Arial" w:hAnsi="Arial" w:cs="Arial"/>
        </w:rPr>
        <w:t>​</w:t>
      </w:r>
    </w:p>
    <w:p w14:paraId="383E4513" w14:textId="77777777" w:rsidR="003E144F" w:rsidRPr="003E144F" w:rsidRDefault="003E144F" w:rsidP="003E144F">
      <w:hyperlink r:id="rId30" w:anchor=":~:text=,of%20Rates%20Under%20Certain%20Circumstances" w:tgtFrame="_blank" w:history="1">
        <w:r w:rsidRPr="003E144F">
          <w:rPr>
            <w:rStyle w:val="Hyperlink"/>
          </w:rPr>
          <w:t>texreg.sos.state.tx.us</w:t>
        </w:r>
      </w:hyperlink>
    </w:p>
    <w:p w14:paraId="47ECB787" w14:textId="77777777" w:rsidR="003E144F" w:rsidRPr="003E144F" w:rsidRDefault="003E144F" w:rsidP="003E144F">
      <w:r w:rsidRPr="003E144F">
        <w:rPr>
          <w:rFonts w:ascii="Arial" w:hAnsi="Arial" w:cs="Arial"/>
        </w:rPr>
        <w:t>​</w:t>
      </w:r>
    </w:p>
    <w:p w14:paraId="5F4996C6" w14:textId="77777777" w:rsidR="003E144F" w:rsidRPr="003E144F" w:rsidRDefault="003E144F" w:rsidP="003E144F">
      <w:hyperlink r:id="rId31" w:anchor=":~:text=,request%20additional%20information%20as%20deemed" w:tgtFrame="_blank" w:history="1">
        <w:r w:rsidRPr="003E144F">
          <w:rPr>
            <w:rStyle w:val="Hyperlink"/>
          </w:rPr>
          <w:t>texreg.sos.state.tx.us</w:t>
        </w:r>
      </w:hyperlink>
    </w:p>
    <w:p w14:paraId="252A16E1" w14:textId="77777777" w:rsidR="003E144F" w:rsidRPr="003E144F" w:rsidRDefault="003E144F" w:rsidP="003E144F">
      <w:pPr>
        <w:numPr>
          <w:ilvl w:val="0"/>
          <w:numId w:val="3"/>
        </w:numPr>
      </w:pPr>
      <w:r w:rsidRPr="003E144F">
        <w:t xml:space="preserve">NAIC – </w:t>
      </w:r>
      <w:r w:rsidRPr="003E144F">
        <w:rPr>
          <w:i/>
          <w:iCs/>
        </w:rPr>
        <w:t>State Insurance Regulation Report</w:t>
      </w:r>
      <w:r w:rsidRPr="003E144F">
        <w:t xml:space="preserve"> (overview of prior approval vs. competitive rating in personal lines)</w:t>
      </w:r>
      <w:r w:rsidRPr="003E144F">
        <w:rPr>
          <w:rFonts w:ascii="Arial" w:hAnsi="Arial" w:cs="Arial"/>
        </w:rPr>
        <w:t>​</w:t>
      </w:r>
    </w:p>
    <w:p w14:paraId="5ABC6D42" w14:textId="77777777" w:rsidR="003E144F" w:rsidRPr="003E144F" w:rsidRDefault="003E144F" w:rsidP="003E144F">
      <w:hyperlink r:id="rId32" w:anchor=":~:text=For%20personal%20property,that%20competition%20is%20not%20working" w:tgtFrame="_blank" w:history="1">
        <w:r w:rsidRPr="003E144F">
          <w:rPr>
            <w:rStyle w:val="Hyperlink"/>
          </w:rPr>
          <w:t>content.naic.org</w:t>
        </w:r>
      </w:hyperlink>
    </w:p>
    <w:p w14:paraId="74F4E263" w14:textId="77777777" w:rsidR="003E144F" w:rsidRDefault="003E144F"/>
    <w:sectPr w:rsidR="003E14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D7708"/>
    <w:multiLevelType w:val="multilevel"/>
    <w:tmpl w:val="63E4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EB2C05"/>
    <w:multiLevelType w:val="multilevel"/>
    <w:tmpl w:val="F1DE9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C803B4"/>
    <w:multiLevelType w:val="multilevel"/>
    <w:tmpl w:val="981A9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9938734">
    <w:abstractNumId w:val="0"/>
  </w:num>
  <w:num w:numId="2" w16cid:durableId="1874683404">
    <w:abstractNumId w:val="1"/>
  </w:num>
  <w:num w:numId="3" w16cid:durableId="5084522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44F"/>
    <w:rsid w:val="002B2E85"/>
    <w:rsid w:val="003E14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420F1"/>
  <w15:chartTrackingRefBased/>
  <w15:docId w15:val="{B175441B-6EE1-4F9F-96ED-43145868B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14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14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14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14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14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14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14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14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14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14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14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14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14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14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14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14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14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144F"/>
    <w:rPr>
      <w:rFonts w:eastAsiaTheme="majorEastAsia" w:cstheme="majorBidi"/>
      <w:color w:val="272727" w:themeColor="text1" w:themeTint="D8"/>
    </w:rPr>
  </w:style>
  <w:style w:type="paragraph" w:styleId="Title">
    <w:name w:val="Title"/>
    <w:basedOn w:val="Normal"/>
    <w:next w:val="Normal"/>
    <w:link w:val="TitleChar"/>
    <w:uiPriority w:val="10"/>
    <w:qFormat/>
    <w:rsid w:val="003E14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14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14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14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144F"/>
    <w:pPr>
      <w:spacing w:before="160"/>
      <w:jc w:val="center"/>
    </w:pPr>
    <w:rPr>
      <w:i/>
      <w:iCs/>
      <w:color w:val="404040" w:themeColor="text1" w:themeTint="BF"/>
    </w:rPr>
  </w:style>
  <w:style w:type="character" w:customStyle="1" w:styleId="QuoteChar">
    <w:name w:val="Quote Char"/>
    <w:basedOn w:val="DefaultParagraphFont"/>
    <w:link w:val="Quote"/>
    <w:uiPriority w:val="29"/>
    <w:rsid w:val="003E144F"/>
    <w:rPr>
      <w:i/>
      <w:iCs/>
      <w:color w:val="404040" w:themeColor="text1" w:themeTint="BF"/>
    </w:rPr>
  </w:style>
  <w:style w:type="paragraph" w:styleId="ListParagraph">
    <w:name w:val="List Paragraph"/>
    <w:basedOn w:val="Normal"/>
    <w:uiPriority w:val="34"/>
    <w:qFormat/>
    <w:rsid w:val="003E144F"/>
    <w:pPr>
      <w:ind w:left="720"/>
      <w:contextualSpacing/>
    </w:pPr>
  </w:style>
  <w:style w:type="character" w:styleId="IntenseEmphasis">
    <w:name w:val="Intense Emphasis"/>
    <w:basedOn w:val="DefaultParagraphFont"/>
    <w:uiPriority w:val="21"/>
    <w:qFormat/>
    <w:rsid w:val="003E144F"/>
    <w:rPr>
      <w:i/>
      <w:iCs/>
      <w:color w:val="0F4761" w:themeColor="accent1" w:themeShade="BF"/>
    </w:rPr>
  </w:style>
  <w:style w:type="paragraph" w:styleId="IntenseQuote">
    <w:name w:val="Intense Quote"/>
    <w:basedOn w:val="Normal"/>
    <w:next w:val="Normal"/>
    <w:link w:val="IntenseQuoteChar"/>
    <w:uiPriority w:val="30"/>
    <w:qFormat/>
    <w:rsid w:val="003E14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144F"/>
    <w:rPr>
      <w:i/>
      <w:iCs/>
      <w:color w:val="0F4761" w:themeColor="accent1" w:themeShade="BF"/>
    </w:rPr>
  </w:style>
  <w:style w:type="character" w:styleId="IntenseReference">
    <w:name w:val="Intense Reference"/>
    <w:basedOn w:val="DefaultParagraphFont"/>
    <w:uiPriority w:val="32"/>
    <w:qFormat/>
    <w:rsid w:val="003E144F"/>
    <w:rPr>
      <w:b/>
      <w:bCs/>
      <w:smallCaps/>
      <w:color w:val="0F4761" w:themeColor="accent1" w:themeShade="BF"/>
      <w:spacing w:val="5"/>
    </w:rPr>
  </w:style>
  <w:style w:type="character" w:styleId="Hyperlink">
    <w:name w:val="Hyperlink"/>
    <w:basedOn w:val="DefaultParagraphFont"/>
    <w:uiPriority w:val="99"/>
    <w:unhideWhenUsed/>
    <w:rsid w:val="003E144F"/>
    <w:rPr>
      <w:color w:val="467886" w:themeColor="hyperlink"/>
      <w:u w:val="single"/>
    </w:rPr>
  </w:style>
  <w:style w:type="character" w:styleId="UnresolvedMention">
    <w:name w:val="Unresolved Mention"/>
    <w:basedOn w:val="DefaultParagraphFont"/>
    <w:uiPriority w:val="99"/>
    <w:semiHidden/>
    <w:unhideWhenUsed/>
    <w:rsid w:val="003E14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0499978">
      <w:bodyDiv w:val="1"/>
      <w:marLeft w:val="0"/>
      <w:marRight w:val="0"/>
      <w:marTop w:val="0"/>
      <w:marBottom w:val="0"/>
      <w:divBdr>
        <w:top w:val="none" w:sz="0" w:space="0" w:color="auto"/>
        <w:left w:val="none" w:sz="0" w:space="0" w:color="auto"/>
        <w:bottom w:val="none" w:sz="0" w:space="0" w:color="auto"/>
        <w:right w:val="none" w:sz="0" w:space="0" w:color="auto"/>
      </w:divBdr>
      <w:divsChild>
        <w:div w:id="1584994947">
          <w:marLeft w:val="0"/>
          <w:marRight w:val="0"/>
          <w:marTop w:val="0"/>
          <w:marBottom w:val="0"/>
          <w:divBdr>
            <w:top w:val="none" w:sz="0" w:space="0" w:color="auto"/>
            <w:left w:val="none" w:sz="0" w:space="0" w:color="auto"/>
            <w:bottom w:val="none" w:sz="0" w:space="0" w:color="auto"/>
            <w:right w:val="none" w:sz="0" w:space="0" w:color="auto"/>
          </w:divBdr>
        </w:div>
        <w:div w:id="678895005">
          <w:marLeft w:val="0"/>
          <w:marRight w:val="0"/>
          <w:marTop w:val="0"/>
          <w:marBottom w:val="0"/>
          <w:divBdr>
            <w:top w:val="none" w:sz="0" w:space="0" w:color="auto"/>
            <w:left w:val="none" w:sz="0" w:space="0" w:color="auto"/>
            <w:bottom w:val="none" w:sz="0" w:space="0" w:color="auto"/>
            <w:right w:val="none" w:sz="0" w:space="0" w:color="auto"/>
          </w:divBdr>
        </w:div>
        <w:div w:id="791629774">
          <w:marLeft w:val="0"/>
          <w:marRight w:val="0"/>
          <w:marTop w:val="0"/>
          <w:marBottom w:val="0"/>
          <w:divBdr>
            <w:top w:val="none" w:sz="0" w:space="0" w:color="auto"/>
            <w:left w:val="none" w:sz="0" w:space="0" w:color="auto"/>
            <w:bottom w:val="none" w:sz="0" w:space="0" w:color="auto"/>
            <w:right w:val="none" w:sz="0" w:space="0" w:color="auto"/>
          </w:divBdr>
        </w:div>
        <w:div w:id="848561447">
          <w:marLeft w:val="0"/>
          <w:marRight w:val="0"/>
          <w:marTop w:val="0"/>
          <w:marBottom w:val="0"/>
          <w:divBdr>
            <w:top w:val="none" w:sz="0" w:space="0" w:color="auto"/>
            <w:left w:val="none" w:sz="0" w:space="0" w:color="auto"/>
            <w:bottom w:val="none" w:sz="0" w:space="0" w:color="auto"/>
            <w:right w:val="none" w:sz="0" w:space="0" w:color="auto"/>
          </w:divBdr>
        </w:div>
        <w:div w:id="1072238200">
          <w:marLeft w:val="0"/>
          <w:marRight w:val="0"/>
          <w:marTop w:val="0"/>
          <w:marBottom w:val="0"/>
          <w:divBdr>
            <w:top w:val="none" w:sz="0" w:space="0" w:color="auto"/>
            <w:left w:val="none" w:sz="0" w:space="0" w:color="auto"/>
            <w:bottom w:val="none" w:sz="0" w:space="0" w:color="auto"/>
            <w:right w:val="none" w:sz="0" w:space="0" w:color="auto"/>
          </w:divBdr>
        </w:div>
        <w:div w:id="305814758">
          <w:marLeft w:val="0"/>
          <w:marRight w:val="0"/>
          <w:marTop w:val="0"/>
          <w:marBottom w:val="0"/>
          <w:divBdr>
            <w:top w:val="none" w:sz="0" w:space="0" w:color="auto"/>
            <w:left w:val="none" w:sz="0" w:space="0" w:color="auto"/>
            <w:bottom w:val="none" w:sz="0" w:space="0" w:color="auto"/>
            <w:right w:val="none" w:sz="0" w:space="0" w:color="auto"/>
          </w:divBdr>
        </w:div>
        <w:div w:id="1574504573">
          <w:marLeft w:val="0"/>
          <w:marRight w:val="0"/>
          <w:marTop w:val="0"/>
          <w:marBottom w:val="0"/>
          <w:divBdr>
            <w:top w:val="none" w:sz="0" w:space="0" w:color="auto"/>
            <w:left w:val="none" w:sz="0" w:space="0" w:color="auto"/>
            <w:bottom w:val="none" w:sz="0" w:space="0" w:color="auto"/>
            <w:right w:val="none" w:sz="0" w:space="0" w:color="auto"/>
          </w:divBdr>
        </w:div>
        <w:div w:id="583219862">
          <w:marLeft w:val="0"/>
          <w:marRight w:val="0"/>
          <w:marTop w:val="0"/>
          <w:marBottom w:val="0"/>
          <w:divBdr>
            <w:top w:val="none" w:sz="0" w:space="0" w:color="auto"/>
            <w:left w:val="none" w:sz="0" w:space="0" w:color="auto"/>
            <w:bottom w:val="none" w:sz="0" w:space="0" w:color="auto"/>
            <w:right w:val="none" w:sz="0" w:space="0" w:color="auto"/>
          </w:divBdr>
        </w:div>
        <w:div w:id="791752067">
          <w:marLeft w:val="0"/>
          <w:marRight w:val="0"/>
          <w:marTop w:val="0"/>
          <w:marBottom w:val="0"/>
          <w:divBdr>
            <w:top w:val="none" w:sz="0" w:space="0" w:color="auto"/>
            <w:left w:val="none" w:sz="0" w:space="0" w:color="auto"/>
            <w:bottom w:val="none" w:sz="0" w:space="0" w:color="auto"/>
            <w:right w:val="none" w:sz="0" w:space="0" w:color="auto"/>
          </w:divBdr>
        </w:div>
        <w:div w:id="494735006">
          <w:marLeft w:val="0"/>
          <w:marRight w:val="0"/>
          <w:marTop w:val="0"/>
          <w:marBottom w:val="0"/>
          <w:divBdr>
            <w:top w:val="none" w:sz="0" w:space="0" w:color="auto"/>
            <w:left w:val="none" w:sz="0" w:space="0" w:color="auto"/>
            <w:bottom w:val="none" w:sz="0" w:space="0" w:color="auto"/>
            <w:right w:val="none" w:sz="0" w:space="0" w:color="auto"/>
          </w:divBdr>
        </w:div>
        <w:div w:id="1321808066">
          <w:marLeft w:val="0"/>
          <w:marRight w:val="0"/>
          <w:marTop w:val="0"/>
          <w:marBottom w:val="0"/>
          <w:divBdr>
            <w:top w:val="none" w:sz="0" w:space="0" w:color="auto"/>
            <w:left w:val="none" w:sz="0" w:space="0" w:color="auto"/>
            <w:bottom w:val="none" w:sz="0" w:space="0" w:color="auto"/>
            <w:right w:val="none" w:sz="0" w:space="0" w:color="auto"/>
          </w:divBdr>
        </w:div>
        <w:div w:id="339966149">
          <w:marLeft w:val="0"/>
          <w:marRight w:val="0"/>
          <w:marTop w:val="0"/>
          <w:marBottom w:val="0"/>
          <w:divBdr>
            <w:top w:val="none" w:sz="0" w:space="0" w:color="auto"/>
            <w:left w:val="none" w:sz="0" w:space="0" w:color="auto"/>
            <w:bottom w:val="none" w:sz="0" w:space="0" w:color="auto"/>
            <w:right w:val="none" w:sz="0" w:space="0" w:color="auto"/>
          </w:divBdr>
        </w:div>
        <w:div w:id="658071132">
          <w:marLeft w:val="0"/>
          <w:marRight w:val="0"/>
          <w:marTop w:val="0"/>
          <w:marBottom w:val="0"/>
          <w:divBdr>
            <w:top w:val="none" w:sz="0" w:space="0" w:color="auto"/>
            <w:left w:val="none" w:sz="0" w:space="0" w:color="auto"/>
            <w:bottom w:val="none" w:sz="0" w:space="0" w:color="auto"/>
            <w:right w:val="none" w:sz="0" w:space="0" w:color="auto"/>
          </w:divBdr>
        </w:div>
        <w:div w:id="100346811">
          <w:marLeft w:val="0"/>
          <w:marRight w:val="0"/>
          <w:marTop w:val="0"/>
          <w:marBottom w:val="0"/>
          <w:divBdr>
            <w:top w:val="none" w:sz="0" w:space="0" w:color="auto"/>
            <w:left w:val="none" w:sz="0" w:space="0" w:color="auto"/>
            <w:bottom w:val="none" w:sz="0" w:space="0" w:color="auto"/>
            <w:right w:val="none" w:sz="0" w:space="0" w:color="auto"/>
          </w:divBdr>
        </w:div>
        <w:div w:id="803502187">
          <w:marLeft w:val="0"/>
          <w:marRight w:val="0"/>
          <w:marTop w:val="0"/>
          <w:marBottom w:val="0"/>
          <w:divBdr>
            <w:top w:val="none" w:sz="0" w:space="0" w:color="auto"/>
            <w:left w:val="none" w:sz="0" w:space="0" w:color="auto"/>
            <w:bottom w:val="none" w:sz="0" w:space="0" w:color="auto"/>
            <w:right w:val="none" w:sz="0" w:space="0" w:color="auto"/>
          </w:divBdr>
        </w:div>
        <w:div w:id="1436172483">
          <w:marLeft w:val="0"/>
          <w:marRight w:val="0"/>
          <w:marTop w:val="0"/>
          <w:marBottom w:val="0"/>
          <w:divBdr>
            <w:top w:val="none" w:sz="0" w:space="0" w:color="auto"/>
            <w:left w:val="none" w:sz="0" w:space="0" w:color="auto"/>
            <w:bottom w:val="none" w:sz="0" w:space="0" w:color="auto"/>
            <w:right w:val="none" w:sz="0" w:space="0" w:color="auto"/>
          </w:divBdr>
        </w:div>
        <w:div w:id="237981951">
          <w:marLeft w:val="0"/>
          <w:marRight w:val="0"/>
          <w:marTop w:val="0"/>
          <w:marBottom w:val="0"/>
          <w:divBdr>
            <w:top w:val="none" w:sz="0" w:space="0" w:color="auto"/>
            <w:left w:val="none" w:sz="0" w:space="0" w:color="auto"/>
            <w:bottom w:val="none" w:sz="0" w:space="0" w:color="auto"/>
            <w:right w:val="none" w:sz="0" w:space="0" w:color="auto"/>
          </w:divBdr>
        </w:div>
        <w:div w:id="1624729898">
          <w:marLeft w:val="0"/>
          <w:marRight w:val="0"/>
          <w:marTop w:val="0"/>
          <w:marBottom w:val="0"/>
          <w:divBdr>
            <w:top w:val="none" w:sz="0" w:space="0" w:color="auto"/>
            <w:left w:val="none" w:sz="0" w:space="0" w:color="auto"/>
            <w:bottom w:val="none" w:sz="0" w:space="0" w:color="auto"/>
            <w:right w:val="none" w:sz="0" w:space="0" w:color="auto"/>
          </w:divBdr>
        </w:div>
        <w:div w:id="253437581">
          <w:marLeft w:val="0"/>
          <w:marRight w:val="0"/>
          <w:marTop w:val="0"/>
          <w:marBottom w:val="0"/>
          <w:divBdr>
            <w:top w:val="none" w:sz="0" w:space="0" w:color="auto"/>
            <w:left w:val="none" w:sz="0" w:space="0" w:color="auto"/>
            <w:bottom w:val="none" w:sz="0" w:space="0" w:color="auto"/>
            <w:right w:val="none" w:sz="0" w:space="0" w:color="auto"/>
          </w:divBdr>
        </w:div>
        <w:div w:id="1997680057">
          <w:marLeft w:val="0"/>
          <w:marRight w:val="0"/>
          <w:marTop w:val="0"/>
          <w:marBottom w:val="0"/>
          <w:divBdr>
            <w:top w:val="none" w:sz="0" w:space="0" w:color="auto"/>
            <w:left w:val="none" w:sz="0" w:space="0" w:color="auto"/>
            <w:bottom w:val="none" w:sz="0" w:space="0" w:color="auto"/>
            <w:right w:val="none" w:sz="0" w:space="0" w:color="auto"/>
          </w:divBdr>
        </w:div>
        <w:div w:id="624165644">
          <w:marLeft w:val="0"/>
          <w:marRight w:val="0"/>
          <w:marTop w:val="0"/>
          <w:marBottom w:val="0"/>
          <w:divBdr>
            <w:top w:val="none" w:sz="0" w:space="0" w:color="auto"/>
            <w:left w:val="none" w:sz="0" w:space="0" w:color="auto"/>
            <w:bottom w:val="none" w:sz="0" w:space="0" w:color="auto"/>
            <w:right w:val="none" w:sz="0" w:space="0" w:color="auto"/>
          </w:divBdr>
        </w:div>
        <w:div w:id="1809742954">
          <w:marLeft w:val="0"/>
          <w:marRight w:val="0"/>
          <w:marTop w:val="0"/>
          <w:marBottom w:val="0"/>
          <w:divBdr>
            <w:top w:val="none" w:sz="0" w:space="0" w:color="auto"/>
            <w:left w:val="none" w:sz="0" w:space="0" w:color="auto"/>
            <w:bottom w:val="none" w:sz="0" w:space="0" w:color="auto"/>
            <w:right w:val="none" w:sz="0" w:space="0" w:color="auto"/>
          </w:divBdr>
        </w:div>
        <w:div w:id="569656502">
          <w:marLeft w:val="0"/>
          <w:marRight w:val="0"/>
          <w:marTop w:val="0"/>
          <w:marBottom w:val="0"/>
          <w:divBdr>
            <w:top w:val="none" w:sz="0" w:space="0" w:color="auto"/>
            <w:left w:val="none" w:sz="0" w:space="0" w:color="auto"/>
            <w:bottom w:val="none" w:sz="0" w:space="0" w:color="auto"/>
            <w:right w:val="none" w:sz="0" w:space="0" w:color="auto"/>
          </w:divBdr>
        </w:div>
        <w:div w:id="523595721">
          <w:marLeft w:val="0"/>
          <w:marRight w:val="0"/>
          <w:marTop w:val="0"/>
          <w:marBottom w:val="0"/>
          <w:divBdr>
            <w:top w:val="none" w:sz="0" w:space="0" w:color="auto"/>
            <w:left w:val="none" w:sz="0" w:space="0" w:color="auto"/>
            <w:bottom w:val="none" w:sz="0" w:space="0" w:color="auto"/>
            <w:right w:val="none" w:sz="0" w:space="0" w:color="auto"/>
          </w:divBdr>
        </w:div>
        <w:div w:id="359937182">
          <w:marLeft w:val="0"/>
          <w:marRight w:val="0"/>
          <w:marTop w:val="0"/>
          <w:marBottom w:val="0"/>
          <w:divBdr>
            <w:top w:val="none" w:sz="0" w:space="0" w:color="auto"/>
            <w:left w:val="none" w:sz="0" w:space="0" w:color="auto"/>
            <w:bottom w:val="none" w:sz="0" w:space="0" w:color="auto"/>
            <w:right w:val="none" w:sz="0" w:space="0" w:color="auto"/>
          </w:divBdr>
        </w:div>
        <w:div w:id="902446679">
          <w:marLeft w:val="0"/>
          <w:marRight w:val="0"/>
          <w:marTop w:val="0"/>
          <w:marBottom w:val="0"/>
          <w:divBdr>
            <w:top w:val="none" w:sz="0" w:space="0" w:color="auto"/>
            <w:left w:val="none" w:sz="0" w:space="0" w:color="auto"/>
            <w:bottom w:val="none" w:sz="0" w:space="0" w:color="auto"/>
            <w:right w:val="none" w:sz="0" w:space="0" w:color="auto"/>
          </w:divBdr>
        </w:div>
        <w:div w:id="447041370">
          <w:marLeft w:val="0"/>
          <w:marRight w:val="0"/>
          <w:marTop w:val="0"/>
          <w:marBottom w:val="0"/>
          <w:divBdr>
            <w:top w:val="none" w:sz="0" w:space="0" w:color="auto"/>
            <w:left w:val="none" w:sz="0" w:space="0" w:color="auto"/>
            <w:bottom w:val="none" w:sz="0" w:space="0" w:color="auto"/>
            <w:right w:val="none" w:sz="0" w:space="0" w:color="auto"/>
          </w:divBdr>
        </w:div>
        <w:div w:id="1232500438">
          <w:marLeft w:val="0"/>
          <w:marRight w:val="0"/>
          <w:marTop w:val="0"/>
          <w:marBottom w:val="0"/>
          <w:divBdr>
            <w:top w:val="none" w:sz="0" w:space="0" w:color="auto"/>
            <w:left w:val="none" w:sz="0" w:space="0" w:color="auto"/>
            <w:bottom w:val="none" w:sz="0" w:space="0" w:color="auto"/>
            <w:right w:val="none" w:sz="0" w:space="0" w:color="auto"/>
          </w:divBdr>
        </w:div>
      </w:divsChild>
    </w:div>
    <w:div w:id="378095527">
      <w:bodyDiv w:val="1"/>
      <w:marLeft w:val="0"/>
      <w:marRight w:val="0"/>
      <w:marTop w:val="0"/>
      <w:marBottom w:val="0"/>
      <w:divBdr>
        <w:top w:val="none" w:sz="0" w:space="0" w:color="auto"/>
        <w:left w:val="none" w:sz="0" w:space="0" w:color="auto"/>
        <w:bottom w:val="none" w:sz="0" w:space="0" w:color="auto"/>
        <w:right w:val="none" w:sz="0" w:space="0" w:color="auto"/>
      </w:divBdr>
      <w:divsChild>
        <w:div w:id="1087732030">
          <w:marLeft w:val="0"/>
          <w:marRight w:val="0"/>
          <w:marTop w:val="0"/>
          <w:marBottom w:val="0"/>
          <w:divBdr>
            <w:top w:val="none" w:sz="0" w:space="0" w:color="auto"/>
            <w:left w:val="none" w:sz="0" w:space="0" w:color="auto"/>
            <w:bottom w:val="none" w:sz="0" w:space="0" w:color="auto"/>
            <w:right w:val="none" w:sz="0" w:space="0" w:color="auto"/>
          </w:divBdr>
        </w:div>
        <w:div w:id="2087725061">
          <w:marLeft w:val="0"/>
          <w:marRight w:val="0"/>
          <w:marTop w:val="0"/>
          <w:marBottom w:val="0"/>
          <w:divBdr>
            <w:top w:val="none" w:sz="0" w:space="0" w:color="auto"/>
            <w:left w:val="none" w:sz="0" w:space="0" w:color="auto"/>
            <w:bottom w:val="none" w:sz="0" w:space="0" w:color="auto"/>
            <w:right w:val="none" w:sz="0" w:space="0" w:color="auto"/>
          </w:divBdr>
        </w:div>
        <w:div w:id="1451238767">
          <w:marLeft w:val="0"/>
          <w:marRight w:val="0"/>
          <w:marTop w:val="0"/>
          <w:marBottom w:val="0"/>
          <w:divBdr>
            <w:top w:val="none" w:sz="0" w:space="0" w:color="auto"/>
            <w:left w:val="none" w:sz="0" w:space="0" w:color="auto"/>
            <w:bottom w:val="none" w:sz="0" w:space="0" w:color="auto"/>
            <w:right w:val="none" w:sz="0" w:space="0" w:color="auto"/>
          </w:divBdr>
        </w:div>
        <w:div w:id="790630479">
          <w:marLeft w:val="0"/>
          <w:marRight w:val="0"/>
          <w:marTop w:val="0"/>
          <w:marBottom w:val="0"/>
          <w:divBdr>
            <w:top w:val="none" w:sz="0" w:space="0" w:color="auto"/>
            <w:left w:val="none" w:sz="0" w:space="0" w:color="auto"/>
            <w:bottom w:val="none" w:sz="0" w:space="0" w:color="auto"/>
            <w:right w:val="none" w:sz="0" w:space="0" w:color="auto"/>
          </w:divBdr>
        </w:div>
        <w:div w:id="590511636">
          <w:marLeft w:val="0"/>
          <w:marRight w:val="0"/>
          <w:marTop w:val="0"/>
          <w:marBottom w:val="0"/>
          <w:divBdr>
            <w:top w:val="none" w:sz="0" w:space="0" w:color="auto"/>
            <w:left w:val="none" w:sz="0" w:space="0" w:color="auto"/>
            <w:bottom w:val="none" w:sz="0" w:space="0" w:color="auto"/>
            <w:right w:val="none" w:sz="0" w:space="0" w:color="auto"/>
          </w:divBdr>
        </w:div>
        <w:div w:id="1638293341">
          <w:marLeft w:val="0"/>
          <w:marRight w:val="0"/>
          <w:marTop w:val="0"/>
          <w:marBottom w:val="0"/>
          <w:divBdr>
            <w:top w:val="none" w:sz="0" w:space="0" w:color="auto"/>
            <w:left w:val="none" w:sz="0" w:space="0" w:color="auto"/>
            <w:bottom w:val="none" w:sz="0" w:space="0" w:color="auto"/>
            <w:right w:val="none" w:sz="0" w:space="0" w:color="auto"/>
          </w:divBdr>
        </w:div>
        <w:div w:id="1222473695">
          <w:marLeft w:val="0"/>
          <w:marRight w:val="0"/>
          <w:marTop w:val="0"/>
          <w:marBottom w:val="0"/>
          <w:divBdr>
            <w:top w:val="none" w:sz="0" w:space="0" w:color="auto"/>
            <w:left w:val="none" w:sz="0" w:space="0" w:color="auto"/>
            <w:bottom w:val="none" w:sz="0" w:space="0" w:color="auto"/>
            <w:right w:val="none" w:sz="0" w:space="0" w:color="auto"/>
          </w:divBdr>
        </w:div>
        <w:div w:id="1212691552">
          <w:marLeft w:val="0"/>
          <w:marRight w:val="0"/>
          <w:marTop w:val="0"/>
          <w:marBottom w:val="0"/>
          <w:divBdr>
            <w:top w:val="none" w:sz="0" w:space="0" w:color="auto"/>
            <w:left w:val="none" w:sz="0" w:space="0" w:color="auto"/>
            <w:bottom w:val="none" w:sz="0" w:space="0" w:color="auto"/>
            <w:right w:val="none" w:sz="0" w:space="0" w:color="auto"/>
          </w:divBdr>
        </w:div>
        <w:div w:id="1537960542">
          <w:marLeft w:val="0"/>
          <w:marRight w:val="0"/>
          <w:marTop w:val="0"/>
          <w:marBottom w:val="0"/>
          <w:divBdr>
            <w:top w:val="none" w:sz="0" w:space="0" w:color="auto"/>
            <w:left w:val="none" w:sz="0" w:space="0" w:color="auto"/>
            <w:bottom w:val="none" w:sz="0" w:space="0" w:color="auto"/>
            <w:right w:val="none" w:sz="0" w:space="0" w:color="auto"/>
          </w:divBdr>
        </w:div>
        <w:div w:id="1073813942">
          <w:marLeft w:val="0"/>
          <w:marRight w:val="0"/>
          <w:marTop w:val="0"/>
          <w:marBottom w:val="0"/>
          <w:divBdr>
            <w:top w:val="none" w:sz="0" w:space="0" w:color="auto"/>
            <w:left w:val="none" w:sz="0" w:space="0" w:color="auto"/>
            <w:bottom w:val="none" w:sz="0" w:space="0" w:color="auto"/>
            <w:right w:val="none" w:sz="0" w:space="0" w:color="auto"/>
          </w:divBdr>
        </w:div>
        <w:div w:id="1713504369">
          <w:marLeft w:val="0"/>
          <w:marRight w:val="0"/>
          <w:marTop w:val="0"/>
          <w:marBottom w:val="0"/>
          <w:divBdr>
            <w:top w:val="none" w:sz="0" w:space="0" w:color="auto"/>
            <w:left w:val="none" w:sz="0" w:space="0" w:color="auto"/>
            <w:bottom w:val="none" w:sz="0" w:space="0" w:color="auto"/>
            <w:right w:val="none" w:sz="0" w:space="0" w:color="auto"/>
          </w:divBdr>
        </w:div>
        <w:div w:id="2067491612">
          <w:marLeft w:val="0"/>
          <w:marRight w:val="0"/>
          <w:marTop w:val="0"/>
          <w:marBottom w:val="0"/>
          <w:divBdr>
            <w:top w:val="none" w:sz="0" w:space="0" w:color="auto"/>
            <w:left w:val="none" w:sz="0" w:space="0" w:color="auto"/>
            <w:bottom w:val="none" w:sz="0" w:space="0" w:color="auto"/>
            <w:right w:val="none" w:sz="0" w:space="0" w:color="auto"/>
          </w:divBdr>
        </w:div>
        <w:div w:id="393361240">
          <w:marLeft w:val="0"/>
          <w:marRight w:val="0"/>
          <w:marTop w:val="0"/>
          <w:marBottom w:val="0"/>
          <w:divBdr>
            <w:top w:val="none" w:sz="0" w:space="0" w:color="auto"/>
            <w:left w:val="none" w:sz="0" w:space="0" w:color="auto"/>
            <w:bottom w:val="none" w:sz="0" w:space="0" w:color="auto"/>
            <w:right w:val="none" w:sz="0" w:space="0" w:color="auto"/>
          </w:divBdr>
        </w:div>
        <w:div w:id="1201434475">
          <w:marLeft w:val="0"/>
          <w:marRight w:val="0"/>
          <w:marTop w:val="0"/>
          <w:marBottom w:val="0"/>
          <w:divBdr>
            <w:top w:val="none" w:sz="0" w:space="0" w:color="auto"/>
            <w:left w:val="none" w:sz="0" w:space="0" w:color="auto"/>
            <w:bottom w:val="none" w:sz="0" w:space="0" w:color="auto"/>
            <w:right w:val="none" w:sz="0" w:space="0" w:color="auto"/>
          </w:divBdr>
        </w:div>
        <w:div w:id="2028482580">
          <w:marLeft w:val="0"/>
          <w:marRight w:val="0"/>
          <w:marTop w:val="0"/>
          <w:marBottom w:val="0"/>
          <w:divBdr>
            <w:top w:val="none" w:sz="0" w:space="0" w:color="auto"/>
            <w:left w:val="none" w:sz="0" w:space="0" w:color="auto"/>
            <w:bottom w:val="none" w:sz="0" w:space="0" w:color="auto"/>
            <w:right w:val="none" w:sz="0" w:space="0" w:color="auto"/>
          </w:divBdr>
        </w:div>
        <w:div w:id="15082982">
          <w:marLeft w:val="0"/>
          <w:marRight w:val="0"/>
          <w:marTop w:val="0"/>
          <w:marBottom w:val="0"/>
          <w:divBdr>
            <w:top w:val="none" w:sz="0" w:space="0" w:color="auto"/>
            <w:left w:val="none" w:sz="0" w:space="0" w:color="auto"/>
            <w:bottom w:val="none" w:sz="0" w:space="0" w:color="auto"/>
            <w:right w:val="none" w:sz="0" w:space="0" w:color="auto"/>
          </w:divBdr>
        </w:div>
        <w:div w:id="1963076129">
          <w:marLeft w:val="0"/>
          <w:marRight w:val="0"/>
          <w:marTop w:val="0"/>
          <w:marBottom w:val="0"/>
          <w:divBdr>
            <w:top w:val="none" w:sz="0" w:space="0" w:color="auto"/>
            <w:left w:val="none" w:sz="0" w:space="0" w:color="auto"/>
            <w:bottom w:val="none" w:sz="0" w:space="0" w:color="auto"/>
            <w:right w:val="none" w:sz="0" w:space="0" w:color="auto"/>
          </w:divBdr>
        </w:div>
        <w:div w:id="1333796412">
          <w:marLeft w:val="0"/>
          <w:marRight w:val="0"/>
          <w:marTop w:val="0"/>
          <w:marBottom w:val="0"/>
          <w:divBdr>
            <w:top w:val="none" w:sz="0" w:space="0" w:color="auto"/>
            <w:left w:val="none" w:sz="0" w:space="0" w:color="auto"/>
            <w:bottom w:val="none" w:sz="0" w:space="0" w:color="auto"/>
            <w:right w:val="none" w:sz="0" w:space="0" w:color="auto"/>
          </w:divBdr>
        </w:div>
        <w:div w:id="2083021569">
          <w:marLeft w:val="0"/>
          <w:marRight w:val="0"/>
          <w:marTop w:val="0"/>
          <w:marBottom w:val="0"/>
          <w:divBdr>
            <w:top w:val="none" w:sz="0" w:space="0" w:color="auto"/>
            <w:left w:val="none" w:sz="0" w:space="0" w:color="auto"/>
            <w:bottom w:val="none" w:sz="0" w:space="0" w:color="auto"/>
            <w:right w:val="none" w:sz="0" w:space="0" w:color="auto"/>
          </w:divBdr>
        </w:div>
        <w:div w:id="1146051466">
          <w:marLeft w:val="0"/>
          <w:marRight w:val="0"/>
          <w:marTop w:val="0"/>
          <w:marBottom w:val="0"/>
          <w:divBdr>
            <w:top w:val="none" w:sz="0" w:space="0" w:color="auto"/>
            <w:left w:val="none" w:sz="0" w:space="0" w:color="auto"/>
            <w:bottom w:val="none" w:sz="0" w:space="0" w:color="auto"/>
            <w:right w:val="none" w:sz="0" w:space="0" w:color="auto"/>
          </w:divBdr>
        </w:div>
        <w:div w:id="383793131">
          <w:marLeft w:val="0"/>
          <w:marRight w:val="0"/>
          <w:marTop w:val="0"/>
          <w:marBottom w:val="0"/>
          <w:divBdr>
            <w:top w:val="none" w:sz="0" w:space="0" w:color="auto"/>
            <w:left w:val="none" w:sz="0" w:space="0" w:color="auto"/>
            <w:bottom w:val="none" w:sz="0" w:space="0" w:color="auto"/>
            <w:right w:val="none" w:sz="0" w:space="0" w:color="auto"/>
          </w:divBdr>
        </w:div>
        <w:div w:id="1353847132">
          <w:marLeft w:val="0"/>
          <w:marRight w:val="0"/>
          <w:marTop w:val="0"/>
          <w:marBottom w:val="0"/>
          <w:divBdr>
            <w:top w:val="none" w:sz="0" w:space="0" w:color="auto"/>
            <w:left w:val="none" w:sz="0" w:space="0" w:color="auto"/>
            <w:bottom w:val="none" w:sz="0" w:space="0" w:color="auto"/>
            <w:right w:val="none" w:sz="0" w:space="0" w:color="auto"/>
          </w:divBdr>
        </w:div>
        <w:div w:id="2045015499">
          <w:marLeft w:val="0"/>
          <w:marRight w:val="0"/>
          <w:marTop w:val="0"/>
          <w:marBottom w:val="0"/>
          <w:divBdr>
            <w:top w:val="none" w:sz="0" w:space="0" w:color="auto"/>
            <w:left w:val="none" w:sz="0" w:space="0" w:color="auto"/>
            <w:bottom w:val="none" w:sz="0" w:space="0" w:color="auto"/>
            <w:right w:val="none" w:sz="0" w:space="0" w:color="auto"/>
          </w:divBdr>
        </w:div>
        <w:div w:id="321278272">
          <w:marLeft w:val="0"/>
          <w:marRight w:val="0"/>
          <w:marTop w:val="0"/>
          <w:marBottom w:val="0"/>
          <w:divBdr>
            <w:top w:val="none" w:sz="0" w:space="0" w:color="auto"/>
            <w:left w:val="none" w:sz="0" w:space="0" w:color="auto"/>
            <w:bottom w:val="none" w:sz="0" w:space="0" w:color="auto"/>
            <w:right w:val="none" w:sz="0" w:space="0" w:color="auto"/>
          </w:divBdr>
        </w:div>
        <w:div w:id="877936108">
          <w:marLeft w:val="0"/>
          <w:marRight w:val="0"/>
          <w:marTop w:val="0"/>
          <w:marBottom w:val="0"/>
          <w:divBdr>
            <w:top w:val="none" w:sz="0" w:space="0" w:color="auto"/>
            <w:left w:val="none" w:sz="0" w:space="0" w:color="auto"/>
            <w:bottom w:val="none" w:sz="0" w:space="0" w:color="auto"/>
            <w:right w:val="none" w:sz="0" w:space="0" w:color="auto"/>
          </w:divBdr>
        </w:div>
        <w:div w:id="495654678">
          <w:marLeft w:val="0"/>
          <w:marRight w:val="0"/>
          <w:marTop w:val="0"/>
          <w:marBottom w:val="0"/>
          <w:divBdr>
            <w:top w:val="none" w:sz="0" w:space="0" w:color="auto"/>
            <w:left w:val="none" w:sz="0" w:space="0" w:color="auto"/>
            <w:bottom w:val="none" w:sz="0" w:space="0" w:color="auto"/>
            <w:right w:val="none" w:sz="0" w:space="0" w:color="auto"/>
          </w:divBdr>
        </w:div>
        <w:div w:id="815101166">
          <w:marLeft w:val="0"/>
          <w:marRight w:val="0"/>
          <w:marTop w:val="0"/>
          <w:marBottom w:val="0"/>
          <w:divBdr>
            <w:top w:val="none" w:sz="0" w:space="0" w:color="auto"/>
            <w:left w:val="none" w:sz="0" w:space="0" w:color="auto"/>
            <w:bottom w:val="none" w:sz="0" w:space="0" w:color="auto"/>
            <w:right w:val="none" w:sz="0" w:space="0" w:color="auto"/>
          </w:divBdr>
        </w:div>
        <w:div w:id="20651324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ontent.naic.org/industry_rates_forms_loss_cost.htm" TargetMode="External"/><Relationship Id="rId18" Type="http://schemas.openxmlformats.org/officeDocument/2006/relationships/hyperlink" Target="https://texreg.sos.state.tx.us/public/readtac$ext.TacPage?sl=T&amp;app=9&amp;p_dir=N&amp;p_rloc=196125&amp;p_tloc=&amp;p_ploc=1&amp;pg=4&amp;p_tac=&amp;ti=28&amp;pt=1&amp;ch=5&amp;rl=9331" TargetMode="External"/><Relationship Id="rId26" Type="http://schemas.openxmlformats.org/officeDocument/2006/relationships/hyperlink" Target="https://content.naic.org/industry_rates_forms_loss_cost.htm" TargetMode="External"/><Relationship Id="rId3" Type="http://schemas.openxmlformats.org/officeDocument/2006/relationships/settings" Target="settings.xml"/><Relationship Id="rId21" Type="http://schemas.openxmlformats.org/officeDocument/2006/relationships/hyperlink" Target="https://texreg.sos.state.tx.us/public/readtac$ext.TacPage?sl=T&amp;app=9&amp;p_dir=N&amp;p_rloc=196125&amp;p_tloc=&amp;p_ploc=1&amp;pg=4&amp;p_tac=&amp;ti=28&amp;pt=1&amp;ch=5&amp;rl=9331" TargetMode="External"/><Relationship Id="rId34" Type="http://schemas.openxmlformats.org/officeDocument/2006/relationships/theme" Target="theme/theme1.xml"/><Relationship Id="rId7" Type="http://schemas.openxmlformats.org/officeDocument/2006/relationships/hyperlink" Target="https://difi.az.gov/sfa" TargetMode="External"/><Relationship Id="rId12" Type="http://schemas.openxmlformats.org/officeDocument/2006/relationships/hyperlink" Target="https://apps.mid.ms.gov/companies/pdf/rate-bulletins/1803bul.pdf" TargetMode="External"/><Relationship Id="rId17" Type="http://schemas.openxmlformats.org/officeDocument/2006/relationships/hyperlink" Target="https://www.insurance.wa.gov/media/802" TargetMode="External"/><Relationship Id="rId25" Type="http://schemas.openxmlformats.org/officeDocument/2006/relationships/hyperlink" Target="https://difi.az.gov/sfa"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content.naic.org/industry_rates_forms_loss_cost.htm" TargetMode="External"/><Relationship Id="rId20" Type="http://schemas.openxmlformats.org/officeDocument/2006/relationships/hyperlink" Target="https://www.maine.gov/pfr/insurance/sites/maine.gov.pfr.insurance/files/inline-files/homeowners.pdf" TargetMode="External"/><Relationship Id="rId29" Type="http://schemas.openxmlformats.org/officeDocument/2006/relationships/hyperlink" Target="https://apps.mid.ms.gov/companies/pdf/rate-bulletins/1803bul.pdf" TargetMode="External"/><Relationship Id="rId1" Type="http://schemas.openxmlformats.org/officeDocument/2006/relationships/numbering" Target="numbering.xml"/><Relationship Id="rId6" Type="http://schemas.openxmlformats.org/officeDocument/2006/relationships/hyperlink" Target="https://texreg.sos.state.tx.us/public/readtac$ext.TacPage?sl=T&amp;app=9&amp;p_dir=N&amp;p_rloc=196125&amp;p_tloc=&amp;p_ploc=1&amp;pg=4&amp;p_tac=&amp;ti=28&amp;pt=1&amp;ch=5&amp;rl=9331" TargetMode="External"/><Relationship Id="rId11" Type="http://schemas.openxmlformats.org/officeDocument/2006/relationships/hyperlink" Target="https://www.insurance.wa.gov/media/802" TargetMode="External"/><Relationship Id="rId24" Type="http://schemas.openxmlformats.org/officeDocument/2006/relationships/hyperlink" Target="https://www.milliman.com/en/insight/regulatory-insurance-intelligence-rate-filing-days-approval-february-2024" TargetMode="External"/><Relationship Id="rId32" Type="http://schemas.openxmlformats.org/officeDocument/2006/relationships/hyperlink" Target="https://content.naic.org/sites/default/files/inline-files/topics_white_paper_hist_ins_reg.pdf" TargetMode="External"/><Relationship Id="rId5" Type="http://schemas.openxmlformats.org/officeDocument/2006/relationships/hyperlink" Target="https://difi.az.gov/sfa" TargetMode="External"/><Relationship Id="rId15" Type="http://schemas.openxmlformats.org/officeDocument/2006/relationships/hyperlink" Target="https://apps.mid.ms.gov/companies/pdf/rate-bulletins/1803bul.pdf" TargetMode="External"/><Relationship Id="rId23" Type="http://schemas.openxmlformats.org/officeDocument/2006/relationships/hyperlink" Target="https://www.milliman.com/en/insight/regulatory-insurance-intelligence-rate-filing-days-approval-february-2024" TargetMode="External"/><Relationship Id="rId28" Type="http://schemas.openxmlformats.org/officeDocument/2006/relationships/hyperlink" Target="https://www.insurance.wa.gov/media/802" TargetMode="External"/><Relationship Id="rId10" Type="http://schemas.openxmlformats.org/officeDocument/2006/relationships/hyperlink" Target="https://www3.ambest.com/AMBV/BSRFAllFilingsWebApp/Default.aspx?URatingID=1444048&amp;type=ALERT&amp;title=Filing+Alert+HO" TargetMode="External"/><Relationship Id="rId19" Type="http://schemas.openxmlformats.org/officeDocument/2006/relationships/hyperlink" Target="https://content.naic.org/sites/default/files/inline-files/topics_white_paper_hist_ins_reg.pdf" TargetMode="External"/><Relationship Id="rId31" Type="http://schemas.openxmlformats.org/officeDocument/2006/relationships/hyperlink" Target="https://texreg.sos.state.tx.us/public/readtac$ext.TacPage?sl=T&amp;app=9&amp;p_dir=N&amp;p_rloc=196125&amp;p_tloc=&amp;p_ploc=1&amp;pg=4&amp;p_tac=&amp;ti=28&amp;pt=1&amp;ch=5&amp;rl=9331" TargetMode="External"/><Relationship Id="rId4" Type="http://schemas.openxmlformats.org/officeDocument/2006/relationships/webSettings" Target="webSettings.xml"/><Relationship Id="rId9" Type="http://schemas.openxmlformats.org/officeDocument/2006/relationships/hyperlink" Target="https://www.insurance.wa.gov/media/802" TargetMode="External"/><Relationship Id="rId14" Type="http://schemas.openxmlformats.org/officeDocument/2006/relationships/hyperlink" Target="https://content.naic.org/industry_rates_forms_loss_cost.htm" TargetMode="External"/><Relationship Id="rId22" Type="http://schemas.openxmlformats.org/officeDocument/2006/relationships/hyperlink" Target="https://texreg.sos.state.tx.us/public/readtac$ext.TacPage?sl=T&amp;app=9&amp;p_dir=N&amp;p_rloc=196125&amp;p_tloc=&amp;p_ploc=1&amp;pg=4&amp;p_tac=&amp;ti=28&amp;pt=1&amp;ch=5&amp;rl=9331" TargetMode="External"/><Relationship Id="rId27" Type="http://schemas.openxmlformats.org/officeDocument/2006/relationships/hyperlink" Target="https://content.naic.org/industry_rates_forms_loss_cost.htm" TargetMode="External"/><Relationship Id="rId30" Type="http://schemas.openxmlformats.org/officeDocument/2006/relationships/hyperlink" Target="https://texreg.sos.state.tx.us/public/readtac$ext.TacPage?sl=T&amp;app=9&amp;p_dir=N&amp;p_rloc=196125&amp;p_tloc=&amp;p_ploc=1&amp;pg=4&amp;p_tac=&amp;ti=28&amp;pt=1&amp;ch=5&amp;rl=9331" TargetMode="External"/><Relationship Id="rId8" Type="http://schemas.openxmlformats.org/officeDocument/2006/relationships/hyperlink" Target="https://difi.az.gov/sf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3586</Words>
  <Characters>20444</Characters>
  <Application>Microsoft Office Word</Application>
  <DocSecurity>0</DocSecurity>
  <Lines>170</Lines>
  <Paragraphs>47</Paragraphs>
  <ScaleCrop>false</ScaleCrop>
  <Company/>
  <LinksUpToDate>false</LinksUpToDate>
  <CharactersWithSpaces>23983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Lawrence Miley</dc:creator>
  <cp:keywords/>
  <dc:description/>
  <cp:lastModifiedBy>Lawrence Miley</cp:lastModifiedBy>
  <cp:revision>1</cp:revision>
  <dcterms:created xsi:type="dcterms:W3CDTF">2025-03-13T10:42:00Z</dcterms:created>
  <dcterms:modified xsi:type="dcterms:W3CDTF">2025-03-13T10:43:00Z</dcterms:modified>
</cp:coreProperties>
</file>